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87156" w14:textId="5E963E93" w:rsidR="006776FE" w:rsidRPr="00EC3B28" w:rsidRDefault="006776FE" w:rsidP="006776FE">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R4-24</w:t>
      </w:r>
      <w:r w:rsidR="00080B30">
        <w:rPr>
          <w:b/>
          <w:noProof/>
          <w:sz w:val="24"/>
        </w:rPr>
        <w:t>11877</w:t>
      </w:r>
      <w:r w:rsidRPr="00EC3B28">
        <w:rPr>
          <w:b/>
          <w:noProof/>
          <w:sz w:val="24"/>
        </w:rPr>
        <w:fldChar w:fldCharType="end"/>
      </w:r>
    </w:p>
    <w:p w14:paraId="5E10C92E" w14:textId="77777777" w:rsidR="006776FE" w:rsidRPr="0052514D" w:rsidRDefault="006776FE" w:rsidP="006776FE">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Maastricht</w:t>
      </w:r>
      <w:r>
        <w:rPr>
          <w:rFonts w:ascii="Arial" w:eastAsia="SimSun" w:hAnsi="Arial" w:cs="Arial" w:hint="eastAsia"/>
          <w:b/>
          <w:sz w:val="24"/>
          <w:szCs w:val="24"/>
          <w:lang w:eastAsia="zh-CN"/>
        </w:rPr>
        <w:t>,</w:t>
      </w:r>
      <w:r>
        <w:rPr>
          <w:rFonts w:ascii="Arial" w:eastAsia="SimSun" w:hAnsi="Arial" w:cs="Arial"/>
          <w:b/>
          <w:sz w:val="24"/>
          <w:szCs w:val="24"/>
          <w:lang w:eastAsia="zh-CN"/>
        </w:rPr>
        <w:t xml:space="preserve"> </w:t>
      </w:r>
      <w:r w:rsidRPr="007761B3">
        <w:rPr>
          <w:rFonts w:ascii="Arial" w:eastAsia="SimSun" w:hAnsi="Arial" w:cs="Arial"/>
          <w:b/>
          <w:sz w:val="24"/>
          <w:szCs w:val="24"/>
          <w:lang w:eastAsia="zh-CN"/>
        </w:rPr>
        <w:t>Netherlands</w:t>
      </w:r>
      <w:r>
        <w:rPr>
          <w:rFonts w:ascii="Arial" w:eastAsia="SimSun" w:hAnsi="Arial" w:cs="Arial"/>
          <w:b/>
          <w:sz w:val="24"/>
          <w:szCs w:val="24"/>
          <w:lang w:eastAsia="zh-CN"/>
        </w:rPr>
        <w:t>, 19</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23</w:t>
      </w:r>
      <w:r>
        <w:rPr>
          <w:rFonts w:ascii="Arial" w:eastAsia="SimSun" w:hAnsi="Arial" w:cs="Arial"/>
          <w:b/>
          <w:sz w:val="24"/>
          <w:szCs w:val="24"/>
          <w:vertAlign w:val="superscript"/>
          <w:lang w:eastAsia="zh-CN"/>
        </w:rPr>
        <w:t>rd</w:t>
      </w:r>
      <w:r>
        <w:rPr>
          <w:rFonts w:ascii="Arial" w:eastAsia="SimSun" w:hAnsi="Arial" w:cs="Arial"/>
          <w:b/>
          <w:sz w:val="24"/>
          <w:szCs w:val="24"/>
          <w:lang w:eastAsia="zh-CN"/>
        </w:rPr>
        <w:t xml:space="preserve"> August</w:t>
      </w:r>
      <w:r w:rsidRPr="0052514D">
        <w:rPr>
          <w:rFonts w:ascii="Arial" w:eastAsia="SimSun" w:hAnsi="Arial" w:cs="Arial"/>
          <w:b/>
          <w:sz w:val="24"/>
          <w:szCs w:val="24"/>
          <w:lang w:eastAsia="zh-CN"/>
        </w:rPr>
        <w:t>, 2024</w:t>
      </w:r>
    </w:p>
    <w:p w14:paraId="1DCA2A04" w14:textId="77777777" w:rsidR="00D511F6" w:rsidRPr="006776FE"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8812E0C"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8371AA" w:rsidRPr="008371AA">
        <w:rPr>
          <w:rFonts w:ascii="Arial" w:hAnsi="Arial" w:cs="Arial"/>
          <w:b/>
          <w:lang w:val="en-US"/>
        </w:rPr>
        <w:t>UE RF requirements for Ku band NTN</w:t>
      </w:r>
    </w:p>
    <w:p w14:paraId="5E7F0AD8" w14:textId="78F79DC1"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6776FE">
        <w:rPr>
          <w:rFonts w:ascii="Arial" w:hAnsi="Arial" w:cs="Arial"/>
          <w:b/>
          <w:lang w:val="en-US"/>
        </w:rPr>
        <w:t>8.</w:t>
      </w:r>
      <w:r w:rsidR="008371AA">
        <w:rPr>
          <w:rFonts w:ascii="Arial" w:hAnsi="Arial" w:cs="Arial"/>
          <w:b/>
          <w:lang w:val="en-US"/>
        </w:rPr>
        <w:t>9.4</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bookmarkStart w:id="0" w:name="_GoBack"/>
      <w:bookmarkEnd w:id="0"/>
    </w:p>
    <w:p w14:paraId="0C4E3190" w14:textId="77777777" w:rsidR="00F60300" w:rsidRPr="00210542" w:rsidRDefault="00F60300" w:rsidP="00F60300">
      <w:pPr>
        <w:pStyle w:val="1"/>
        <w:rPr>
          <w:lang w:val="en-US" w:eastAsia="ko-KR"/>
        </w:rPr>
      </w:pPr>
      <w:bookmarkStart w:id="1" w:name="_Ref124589705"/>
      <w:bookmarkStart w:id="2" w:name="_Ref129681862"/>
      <w:r w:rsidRPr="00210542">
        <w:rPr>
          <w:lang w:val="en-US"/>
        </w:rPr>
        <w:t>Introduction</w:t>
      </w:r>
      <w:bookmarkEnd w:id="1"/>
      <w:bookmarkEnd w:id="2"/>
    </w:p>
    <w:p w14:paraId="2ED0129E" w14:textId="62E2C8B9"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8371AA">
        <w:rPr>
          <w:lang w:val="en-US" w:eastAsia="ko-KR"/>
        </w:rPr>
        <w:t xml:space="preserve">Ku band </w:t>
      </w:r>
      <w:r w:rsidR="004E177A">
        <w:rPr>
          <w:lang w:val="en-US" w:eastAsia="ko-KR"/>
        </w:rPr>
        <w:t xml:space="preserve">NR </w:t>
      </w:r>
      <w:r w:rsidR="008371AA">
        <w:rPr>
          <w:lang w:val="en-US" w:eastAsia="ko-KR"/>
        </w:rPr>
        <w:t>NTN</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3" w:name="_Ref124589665"/>
      <w:bookmarkStart w:id="4" w:name="_Ref71620620"/>
      <w:bookmarkStart w:id="5"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41CBBC16" w14:textId="468586C2" w:rsidR="004112C8" w:rsidRDefault="00B0205D" w:rsidP="004112C8">
      <w:pPr>
        <w:rPr>
          <w:lang w:eastAsia="ko-KR"/>
        </w:rPr>
      </w:pPr>
      <w:r>
        <w:rPr>
          <w:lang w:eastAsia="ko-KR"/>
        </w:rPr>
        <w:t xml:space="preserve">In </w:t>
      </w:r>
      <w:r w:rsidR="004112C8">
        <w:rPr>
          <w:lang w:eastAsia="ko-KR"/>
        </w:rPr>
        <w:t>RAN</w:t>
      </w:r>
      <w:r>
        <w:rPr>
          <w:lang w:eastAsia="ko-KR"/>
        </w:rPr>
        <w:t xml:space="preserve"> #104</w:t>
      </w:r>
      <w:r w:rsidR="004112C8">
        <w:rPr>
          <w:lang w:eastAsia="ko-KR"/>
        </w:rPr>
        <w:t xml:space="preserve"> meeting, </w:t>
      </w:r>
      <w:r>
        <w:rPr>
          <w:lang w:eastAsia="ko-KR"/>
        </w:rPr>
        <w:t>WID for Ku band NR NTN was approved</w:t>
      </w:r>
      <w:r w:rsidR="004112C8">
        <w:rPr>
          <w:lang w:eastAsia="ko-KR"/>
        </w:rPr>
        <w:t xml:space="preserve"> [1]. </w:t>
      </w:r>
      <w:r w:rsidR="004112C8">
        <w:rPr>
          <w:rFonts w:hint="eastAsia"/>
          <w:lang w:eastAsia="ko-KR"/>
        </w:rPr>
        <w:t xml:space="preserve">This paper </w:t>
      </w:r>
      <w:r w:rsidR="004112C8">
        <w:rPr>
          <w:lang w:eastAsia="ko-KR"/>
        </w:rPr>
        <w:t xml:space="preserve">discusses the </w:t>
      </w:r>
      <w:r>
        <w:rPr>
          <w:lang w:eastAsia="ko-KR"/>
        </w:rPr>
        <w:t xml:space="preserve">related UE RF </w:t>
      </w:r>
      <w:r w:rsidR="004112C8">
        <w:rPr>
          <w:lang w:eastAsia="ko-KR"/>
        </w:rPr>
        <w:t>requirement</w:t>
      </w:r>
      <w:r>
        <w:rPr>
          <w:lang w:eastAsia="ko-KR"/>
        </w:rPr>
        <w:t>s</w:t>
      </w:r>
      <w:r w:rsidR="004112C8">
        <w:rPr>
          <w:lang w:eastAsia="ko-KR"/>
        </w:rPr>
        <w:t>.</w:t>
      </w:r>
    </w:p>
    <w:p w14:paraId="415B79BE" w14:textId="0B8F96B9" w:rsidR="0082659C" w:rsidRDefault="0082659C" w:rsidP="00D24778">
      <w:pPr>
        <w:rPr>
          <w:lang w:eastAsia="ko-KR"/>
        </w:rPr>
      </w:pPr>
    </w:p>
    <w:p w14:paraId="1E95ED4F" w14:textId="00BBC2E0" w:rsidR="00B0205D" w:rsidRDefault="00B0205D" w:rsidP="00D24778">
      <w:pPr>
        <w:rPr>
          <w:lang w:eastAsia="ko-KR"/>
        </w:rPr>
      </w:pPr>
      <w:r>
        <w:rPr>
          <w:rFonts w:hint="eastAsia"/>
          <w:lang w:eastAsia="ko-KR"/>
        </w:rPr>
        <w:t>Objective [1]</w:t>
      </w:r>
    </w:p>
    <w:tbl>
      <w:tblPr>
        <w:tblStyle w:val="a9"/>
        <w:tblW w:w="0" w:type="auto"/>
        <w:tblLook w:val="04A0" w:firstRow="1" w:lastRow="0" w:firstColumn="1" w:lastColumn="0" w:noHBand="0" w:noVBand="1"/>
      </w:tblPr>
      <w:tblGrid>
        <w:gridCol w:w="9855"/>
      </w:tblGrid>
      <w:tr w:rsidR="00B8378E" w14:paraId="11E90BDF" w14:textId="77777777" w:rsidTr="00B8378E">
        <w:tc>
          <w:tcPr>
            <w:tcW w:w="9855" w:type="dxa"/>
          </w:tcPr>
          <w:p w14:paraId="6284A0C1" w14:textId="77777777" w:rsidR="00B0205D" w:rsidRPr="00B0205D" w:rsidRDefault="00B0205D" w:rsidP="00B0205D">
            <w:pPr>
              <w:rPr>
                <w:bCs/>
              </w:rPr>
            </w:pPr>
            <w:r w:rsidRPr="00B0205D">
              <w:rPr>
                <w:bCs/>
              </w:rPr>
              <w:t>The following assumptions are taken as the baseline for this work:</w:t>
            </w:r>
          </w:p>
          <w:p w14:paraId="1517E907" w14:textId="77777777" w:rsidR="00B0205D" w:rsidRPr="00B0205D" w:rsidRDefault="00B0205D" w:rsidP="00B0205D">
            <w:pPr>
              <w:numPr>
                <w:ilvl w:val="0"/>
                <w:numId w:val="33"/>
              </w:numPr>
              <w:overflowPunct w:val="0"/>
              <w:autoSpaceDE w:val="0"/>
              <w:autoSpaceDN w:val="0"/>
              <w:adjustRightInd w:val="0"/>
              <w:jc w:val="both"/>
              <w:textAlignment w:val="baseline"/>
              <w:rPr>
                <w:bCs/>
              </w:rPr>
            </w:pPr>
            <w:r w:rsidRPr="00B0205D">
              <w:rPr>
                <w:bCs/>
              </w:rPr>
              <w:t>GSO and NGSO</w:t>
            </w:r>
          </w:p>
          <w:p w14:paraId="51536E02" w14:textId="77777777" w:rsidR="00B0205D" w:rsidRPr="00B0205D" w:rsidRDefault="00B0205D" w:rsidP="00B0205D">
            <w:pPr>
              <w:numPr>
                <w:ilvl w:val="0"/>
                <w:numId w:val="33"/>
              </w:numPr>
              <w:overflowPunct w:val="0"/>
              <w:autoSpaceDE w:val="0"/>
              <w:autoSpaceDN w:val="0"/>
              <w:adjustRightInd w:val="0"/>
              <w:jc w:val="both"/>
              <w:textAlignment w:val="baseline"/>
              <w:rPr>
                <w:bCs/>
              </w:rPr>
            </w:pPr>
            <w:r w:rsidRPr="00B0205D">
              <w:rPr>
                <w:bCs/>
              </w:rPr>
              <w:t xml:space="preserve">NTN capable UE type 1 to 5 (38.101-5 </w:t>
            </w:r>
            <w:r w:rsidRPr="00B0205D">
              <w:t xml:space="preserve">Table 9.2.1.0-1) </w:t>
            </w:r>
            <w:r w:rsidRPr="00B0205D">
              <w:rPr>
                <w:bCs/>
              </w:rPr>
              <w:t>for above 10 GHz (no handheld devices)</w:t>
            </w:r>
          </w:p>
          <w:p w14:paraId="08B032F9" w14:textId="77777777" w:rsidR="00B0205D" w:rsidRPr="00B0205D" w:rsidRDefault="00B0205D" w:rsidP="00B0205D">
            <w:pPr>
              <w:numPr>
                <w:ilvl w:val="0"/>
                <w:numId w:val="33"/>
              </w:numPr>
              <w:overflowPunct w:val="0"/>
              <w:autoSpaceDE w:val="0"/>
              <w:autoSpaceDN w:val="0"/>
              <w:adjustRightInd w:val="0"/>
              <w:jc w:val="both"/>
              <w:textAlignment w:val="baseline"/>
              <w:rPr>
                <w:bCs/>
              </w:rPr>
            </w:pPr>
            <w:r w:rsidRPr="00B0205D">
              <w:rPr>
                <w:bCs/>
              </w:rPr>
              <w:t xml:space="preserve">FDD Mode </w:t>
            </w:r>
          </w:p>
          <w:p w14:paraId="6AA031AD" w14:textId="77777777" w:rsidR="00B0205D" w:rsidRPr="00B0205D" w:rsidRDefault="00B0205D" w:rsidP="00B0205D">
            <w:pPr>
              <w:numPr>
                <w:ilvl w:val="0"/>
                <w:numId w:val="33"/>
              </w:numPr>
              <w:overflowPunct w:val="0"/>
              <w:autoSpaceDE w:val="0"/>
              <w:autoSpaceDN w:val="0"/>
              <w:adjustRightInd w:val="0"/>
              <w:jc w:val="both"/>
              <w:textAlignment w:val="baseline"/>
              <w:rPr>
                <w:bCs/>
              </w:rPr>
            </w:pPr>
            <w:r w:rsidRPr="00B0205D">
              <w:rPr>
                <w:bCs/>
              </w:rPr>
              <w:t xml:space="preserve">GNSS Receiver capability </w:t>
            </w:r>
          </w:p>
          <w:p w14:paraId="1E9EB508" w14:textId="77777777" w:rsidR="00B0205D" w:rsidRPr="00B0205D" w:rsidRDefault="00B0205D" w:rsidP="00B0205D">
            <w:pPr>
              <w:ind w:left="720"/>
              <w:rPr>
                <w:bCs/>
                <w:color w:val="FF0000"/>
              </w:rPr>
            </w:pPr>
          </w:p>
          <w:p w14:paraId="4993BF0F" w14:textId="77777777" w:rsidR="00B0205D" w:rsidRPr="00B0205D" w:rsidRDefault="00B0205D" w:rsidP="00B0205D">
            <w:pPr>
              <w:rPr>
                <w:bCs/>
              </w:rPr>
            </w:pPr>
            <w:r w:rsidRPr="00B0205D">
              <w:rPr>
                <w:iCs/>
              </w:rPr>
              <w:t>The objectives are:</w:t>
            </w:r>
          </w:p>
          <w:p w14:paraId="44158368" w14:textId="77777777" w:rsidR="00B0205D" w:rsidRPr="00B0205D" w:rsidRDefault="00B0205D" w:rsidP="00B0205D">
            <w:pPr>
              <w:numPr>
                <w:ilvl w:val="0"/>
                <w:numId w:val="34"/>
              </w:numPr>
              <w:overflowPunct w:val="0"/>
              <w:autoSpaceDE w:val="0"/>
              <w:autoSpaceDN w:val="0"/>
              <w:adjustRightInd w:val="0"/>
              <w:jc w:val="both"/>
              <w:textAlignment w:val="baseline"/>
              <w:rPr>
                <w:bCs/>
              </w:rPr>
            </w:pPr>
            <w:r w:rsidRPr="00B0205D">
              <w:rPr>
                <w:bCs/>
              </w:rPr>
              <w:t>Use the regulation requirements in ITU Regions 1, 2 and 3 to identify relevant adjacent band co-existence scenarios for NTN Ku Band covering the following frequency ranges, considering targeted deployment scenarios:</w:t>
            </w:r>
          </w:p>
          <w:p w14:paraId="085F0846" w14:textId="77777777" w:rsidR="00B0205D" w:rsidRPr="00B0205D" w:rsidRDefault="00B0205D" w:rsidP="00B0205D">
            <w:pPr>
              <w:numPr>
                <w:ilvl w:val="1"/>
                <w:numId w:val="34"/>
              </w:numPr>
              <w:overflowPunct w:val="0"/>
              <w:autoSpaceDE w:val="0"/>
              <w:autoSpaceDN w:val="0"/>
              <w:adjustRightInd w:val="0"/>
              <w:jc w:val="both"/>
              <w:textAlignment w:val="baseline"/>
              <w:rPr>
                <w:bCs/>
              </w:rPr>
            </w:pPr>
            <w:r w:rsidRPr="00B0205D">
              <w:rPr>
                <w:bCs/>
              </w:rPr>
              <w:t>For ITU regions 1 and 3:</w:t>
            </w:r>
          </w:p>
          <w:p w14:paraId="40CD1097"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Downlink 10.70 – 12.75 GHz</w:t>
            </w:r>
          </w:p>
          <w:p w14:paraId="16023C50"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Uplink 13.75-14.5 GHz</w:t>
            </w:r>
          </w:p>
          <w:p w14:paraId="6ED0792A" w14:textId="77777777" w:rsidR="00B0205D" w:rsidRPr="00B0205D" w:rsidRDefault="00B0205D" w:rsidP="00B0205D">
            <w:pPr>
              <w:numPr>
                <w:ilvl w:val="1"/>
                <w:numId w:val="34"/>
              </w:numPr>
              <w:overflowPunct w:val="0"/>
              <w:autoSpaceDE w:val="0"/>
              <w:autoSpaceDN w:val="0"/>
              <w:adjustRightInd w:val="0"/>
              <w:jc w:val="both"/>
              <w:textAlignment w:val="baseline"/>
              <w:rPr>
                <w:bCs/>
              </w:rPr>
            </w:pPr>
            <w:r w:rsidRPr="00B0205D">
              <w:rPr>
                <w:bCs/>
              </w:rPr>
              <w:t>For ITU regions 2 excluding US:</w:t>
            </w:r>
          </w:p>
          <w:p w14:paraId="4EC531A0"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Downlink 10.70 – 12.70 GHz</w:t>
            </w:r>
          </w:p>
          <w:p w14:paraId="7E0D9A38"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Uplink 13.75-14.5 GHz</w:t>
            </w:r>
          </w:p>
          <w:p w14:paraId="6AE2410A" w14:textId="77777777" w:rsidR="00B0205D" w:rsidRPr="00B0205D" w:rsidRDefault="00B0205D" w:rsidP="00B0205D">
            <w:pPr>
              <w:numPr>
                <w:ilvl w:val="1"/>
                <w:numId w:val="34"/>
              </w:numPr>
              <w:overflowPunct w:val="0"/>
              <w:autoSpaceDE w:val="0"/>
              <w:autoSpaceDN w:val="0"/>
              <w:adjustRightInd w:val="0"/>
              <w:jc w:val="both"/>
              <w:textAlignment w:val="baseline"/>
              <w:rPr>
                <w:bCs/>
              </w:rPr>
            </w:pPr>
            <w:r w:rsidRPr="00B0205D">
              <w:rPr>
                <w:bCs/>
              </w:rPr>
              <w:t>For ITU regions 1 and 3</w:t>
            </w:r>
          </w:p>
          <w:p w14:paraId="04E60FA7"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Downlink 10.70 – 12.75 GHz</w:t>
            </w:r>
          </w:p>
          <w:p w14:paraId="08F32641"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Uplink 12.75 - 13.25 GHz</w:t>
            </w:r>
          </w:p>
          <w:p w14:paraId="730F4202" w14:textId="77777777" w:rsidR="00B0205D" w:rsidRPr="00B0205D" w:rsidRDefault="00B0205D" w:rsidP="00B0205D">
            <w:pPr>
              <w:numPr>
                <w:ilvl w:val="1"/>
                <w:numId w:val="34"/>
              </w:numPr>
              <w:overflowPunct w:val="0"/>
              <w:autoSpaceDE w:val="0"/>
              <w:autoSpaceDN w:val="0"/>
              <w:adjustRightInd w:val="0"/>
              <w:jc w:val="both"/>
              <w:textAlignment w:val="baseline"/>
              <w:rPr>
                <w:bCs/>
              </w:rPr>
            </w:pPr>
            <w:r w:rsidRPr="00B0205D">
              <w:rPr>
                <w:bCs/>
              </w:rPr>
              <w:t>For ITU regions 2 excluding US</w:t>
            </w:r>
          </w:p>
          <w:p w14:paraId="2B6441FC"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Downlink 10.70 – 12.70 GHz</w:t>
            </w:r>
          </w:p>
          <w:p w14:paraId="404432BE" w14:textId="77777777" w:rsidR="00B0205D" w:rsidRPr="00B0205D" w:rsidRDefault="00B0205D" w:rsidP="00B0205D">
            <w:pPr>
              <w:numPr>
                <w:ilvl w:val="2"/>
                <w:numId w:val="34"/>
              </w:numPr>
              <w:overflowPunct w:val="0"/>
              <w:autoSpaceDE w:val="0"/>
              <w:autoSpaceDN w:val="0"/>
              <w:adjustRightInd w:val="0"/>
              <w:jc w:val="both"/>
              <w:textAlignment w:val="baseline"/>
              <w:rPr>
                <w:bCs/>
              </w:rPr>
            </w:pPr>
            <w:r w:rsidRPr="00B0205D">
              <w:rPr>
                <w:bCs/>
              </w:rPr>
              <w:t>Uplink 12.70 - 13.25 GHz</w:t>
            </w:r>
          </w:p>
          <w:p w14:paraId="135B86D5" w14:textId="77777777" w:rsidR="00B0205D" w:rsidRPr="00B0205D" w:rsidRDefault="00B0205D" w:rsidP="00B0205D">
            <w:pPr>
              <w:numPr>
                <w:ilvl w:val="1"/>
                <w:numId w:val="34"/>
              </w:numPr>
              <w:overflowPunct w:val="0"/>
              <w:autoSpaceDE w:val="0"/>
              <w:autoSpaceDN w:val="0"/>
              <w:adjustRightInd w:val="0"/>
              <w:jc w:val="both"/>
              <w:textAlignment w:val="baseline"/>
              <w:rPr>
                <w:bCs/>
              </w:rPr>
            </w:pPr>
            <w:r w:rsidRPr="00B0205D">
              <w:rPr>
                <w:bCs/>
              </w:rPr>
              <w:t>Note: Appropriate TX/Rx separation for uplink downlink pairing will be required.</w:t>
            </w:r>
          </w:p>
          <w:p w14:paraId="39504AC2" w14:textId="77777777" w:rsidR="00B0205D" w:rsidRPr="00B0205D" w:rsidRDefault="00B0205D" w:rsidP="00B0205D">
            <w:pPr>
              <w:numPr>
                <w:ilvl w:val="0"/>
                <w:numId w:val="34"/>
              </w:numPr>
              <w:overflowPunct w:val="0"/>
              <w:autoSpaceDE w:val="0"/>
              <w:autoSpaceDN w:val="0"/>
              <w:adjustRightInd w:val="0"/>
              <w:jc w:val="both"/>
              <w:textAlignment w:val="baseline"/>
              <w:rPr>
                <w:bCs/>
              </w:rPr>
            </w:pPr>
            <w:r w:rsidRPr="00B0205D">
              <w:rPr>
                <w:bCs/>
              </w:rPr>
              <w:t>Conduct coexistence study. Reuse Ka band coexistence study assumptions as much as possible, with modifications where necessary, e.g. for frequency range and subcarrier spacing. Conduct new co-existence studies based on adjacent services .</w:t>
            </w:r>
          </w:p>
          <w:p w14:paraId="5850C2DA" w14:textId="77777777" w:rsidR="00B0205D" w:rsidRPr="00B0205D" w:rsidRDefault="00B0205D" w:rsidP="00B0205D">
            <w:pPr>
              <w:numPr>
                <w:ilvl w:val="0"/>
                <w:numId w:val="34"/>
              </w:numPr>
              <w:overflowPunct w:val="0"/>
              <w:autoSpaceDE w:val="0"/>
              <w:autoSpaceDN w:val="0"/>
              <w:adjustRightInd w:val="0"/>
              <w:jc w:val="both"/>
              <w:textAlignment w:val="baseline"/>
              <w:rPr>
                <w:bCs/>
              </w:rPr>
            </w:pPr>
            <w:r w:rsidRPr="00B0205D">
              <w:t>Specify RF requirements for satellite access node and NTN VSAT types in 38.101-5 also considering existing regulations on antenna sizes for certain parts of the Ku band.</w:t>
            </w:r>
          </w:p>
          <w:p w14:paraId="2D4FFEE3" w14:textId="77777777" w:rsidR="00B0205D" w:rsidRPr="00B0205D" w:rsidRDefault="00B0205D" w:rsidP="00B0205D">
            <w:pPr>
              <w:pStyle w:val="af1"/>
              <w:widowControl/>
              <w:numPr>
                <w:ilvl w:val="0"/>
                <w:numId w:val="35"/>
              </w:numPr>
              <w:wordWrap/>
              <w:autoSpaceDE/>
              <w:autoSpaceDN/>
              <w:spacing w:after="160" w:line="259" w:lineRule="auto"/>
              <w:ind w:leftChars="0"/>
              <w:contextualSpacing/>
              <w:rPr>
                <w:rFonts w:ascii="Times New Roman" w:hAnsi="Times New Roman"/>
                <w:szCs w:val="20"/>
              </w:rPr>
            </w:pPr>
            <w:r w:rsidRPr="00B0205D">
              <w:rPr>
                <w:rFonts w:ascii="Times New Roman" w:hAnsi="Times New Roman"/>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70F20E33" w14:textId="77777777" w:rsidR="00B0205D" w:rsidRPr="00B0205D" w:rsidRDefault="00B0205D" w:rsidP="00B0205D">
            <w:pPr>
              <w:pStyle w:val="af1"/>
              <w:widowControl/>
              <w:numPr>
                <w:ilvl w:val="1"/>
                <w:numId w:val="35"/>
              </w:numPr>
              <w:wordWrap/>
              <w:autoSpaceDE/>
              <w:autoSpaceDN/>
              <w:spacing w:after="160" w:line="259" w:lineRule="auto"/>
              <w:ind w:leftChars="0"/>
              <w:contextualSpacing/>
              <w:rPr>
                <w:rFonts w:ascii="Times New Roman" w:hAnsi="Times New Roman"/>
                <w:szCs w:val="20"/>
              </w:rPr>
            </w:pPr>
            <w:r w:rsidRPr="00B0205D">
              <w:rPr>
                <w:rFonts w:ascii="Times New Roman" w:hAnsi="Times New Roman"/>
                <w:szCs w:val="20"/>
              </w:rPr>
              <w:t>Ku band #1a and #1b as FR1-NTN supporting 20 MHz, 35 MHz, 50 MHz, 70 MHz and 100 MHz channel bandwidths with 30 kHz subcarrier spacing</w:t>
            </w:r>
          </w:p>
          <w:p w14:paraId="11179C29" w14:textId="77777777" w:rsidR="00B0205D" w:rsidRPr="00B0205D" w:rsidRDefault="00B0205D" w:rsidP="00B0205D">
            <w:pPr>
              <w:pStyle w:val="af1"/>
              <w:widowControl/>
              <w:numPr>
                <w:ilvl w:val="1"/>
                <w:numId w:val="35"/>
              </w:numPr>
              <w:wordWrap/>
              <w:autoSpaceDE/>
              <w:autoSpaceDN/>
              <w:spacing w:after="160" w:line="259" w:lineRule="auto"/>
              <w:ind w:leftChars="0"/>
              <w:contextualSpacing/>
              <w:rPr>
                <w:rFonts w:ascii="Times New Roman" w:hAnsi="Times New Roman"/>
                <w:szCs w:val="20"/>
              </w:rPr>
            </w:pPr>
            <w:r w:rsidRPr="00B0205D">
              <w:rPr>
                <w:rFonts w:ascii="Times New Roman" w:hAnsi="Times New Roman"/>
                <w:szCs w:val="20"/>
              </w:rPr>
              <w:t>Ku band #1a and #1b as FR2-NTN supporting 50 MHz, 100 MHz, 200 MHz, 400 MHz (120kHz SCS only) channel bandwidths with 120 kHz subcarrier spacing</w:t>
            </w:r>
          </w:p>
          <w:p w14:paraId="51CE9E72" w14:textId="77777777" w:rsidR="00B0205D" w:rsidRPr="00B0205D" w:rsidRDefault="00B0205D" w:rsidP="00B0205D">
            <w:pPr>
              <w:pStyle w:val="af1"/>
              <w:widowControl/>
              <w:numPr>
                <w:ilvl w:val="0"/>
                <w:numId w:val="35"/>
              </w:numPr>
              <w:wordWrap/>
              <w:autoSpaceDE/>
              <w:autoSpaceDN/>
              <w:spacing w:after="160" w:line="259" w:lineRule="auto"/>
              <w:ind w:leftChars="0"/>
              <w:contextualSpacing/>
              <w:rPr>
                <w:rFonts w:ascii="Times New Roman" w:hAnsi="Times New Roman"/>
                <w:szCs w:val="20"/>
              </w:rPr>
            </w:pPr>
            <w:r w:rsidRPr="00B0205D">
              <w:rPr>
                <w:rFonts w:ascii="Times New Roman" w:hAnsi="Times New Roman"/>
                <w:szCs w:val="20"/>
              </w:rPr>
              <w:t>RAN4 will select which one of the above approaches for DL and UL will be pursued by RAN #106.</w:t>
            </w:r>
          </w:p>
          <w:p w14:paraId="7EA1552D" w14:textId="77777777" w:rsidR="00B0205D" w:rsidRPr="00B0205D" w:rsidRDefault="00B0205D" w:rsidP="00B0205D">
            <w:pPr>
              <w:pStyle w:val="af1"/>
              <w:widowControl/>
              <w:numPr>
                <w:ilvl w:val="0"/>
                <w:numId w:val="35"/>
              </w:numPr>
              <w:wordWrap/>
              <w:autoSpaceDE/>
              <w:autoSpaceDN/>
              <w:spacing w:after="160" w:line="259" w:lineRule="auto"/>
              <w:ind w:leftChars="0"/>
              <w:contextualSpacing/>
              <w:rPr>
                <w:rFonts w:ascii="Times New Roman" w:hAnsi="Times New Roman"/>
                <w:szCs w:val="20"/>
              </w:rPr>
            </w:pPr>
            <w:r w:rsidRPr="00B0205D">
              <w:rPr>
                <w:rFonts w:ascii="Times New Roman" w:hAnsi="Times New Roman"/>
                <w:szCs w:val="20"/>
              </w:rPr>
              <w:lastRenderedPageBreak/>
              <w:t>Priority 2: for all ITU regions excluding the US in region 2, using the approach in Priority 1, define Ku band #2a and #2b as appropriate for the downlink block and uplink block A to support satellite services in 125 MHz (UL) and 250 MHz (DL) aggregated bandwidths.</w:t>
            </w:r>
          </w:p>
          <w:p w14:paraId="0E4D906B" w14:textId="412A42CF" w:rsidR="00B0205D" w:rsidRDefault="00B0205D" w:rsidP="00B0205D">
            <w:pPr>
              <w:pStyle w:val="af1"/>
              <w:widowControl/>
              <w:numPr>
                <w:ilvl w:val="0"/>
                <w:numId w:val="35"/>
              </w:numPr>
              <w:wordWrap/>
              <w:autoSpaceDE/>
              <w:autoSpaceDN/>
              <w:spacing w:line="259" w:lineRule="auto"/>
              <w:ind w:leftChars="0"/>
              <w:contextualSpacing/>
              <w:rPr>
                <w:rFonts w:ascii="Times New Roman" w:hAnsi="Times New Roman"/>
                <w:szCs w:val="20"/>
              </w:rPr>
            </w:pPr>
            <w:r w:rsidRPr="00B0205D">
              <w:rPr>
                <w:rFonts w:ascii="Times New Roman" w:hAnsi="Times New Roman"/>
                <w:szCs w:val="20"/>
              </w:rPr>
              <w:t xml:space="preserve">Specify RRM requirements </w:t>
            </w:r>
          </w:p>
          <w:p w14:paraId="0D51D0BA" w14:textId="77777777" w:rsidR="00B0205D" w:rsidRPr="00B0205D" w:rsidRDefault="00B0205D" w:rsidP="00B0205D">
            <w:pPr>
              <w:pStyle w:val="af1"/>
              <w:widowControl/>
              <w:wordWrap/>
              <w:autoSpaceDE/>
              <w:autoSpaceDN/>
              <w:spacing w:line="259" w:lineRule="auto"/>
              <w:ind w:leftChars="0" w:left="720"/>
              <w:contextualSpacing/>
              <w:rPr>
                <w:rFonts w:ascii="Times New Roman" w:hAnsi="Times New Roman"/>
                <w:szCs w:val="20"/>
              </w:rPr>
            </w:pPr>
          </w:p>
          <w:p w14:paraId="5F8F2771" w14:textId="27383D8A" w:rsidR="00B8378E" w:rsidRDefault="00B0205D" w:rsidP="00B0205D">
            <w:pPr>
              <w:ind w:firstLineChars="150" w:firstLine="300"/>
              <w:rPr>
                <w:lang w:eastAsia="ko-KR"/>
              </w:rPr>
            </w:pPr>
            <w:r w:rsidRPr="00B0205D">
              <w:t>Note: Support for NTN CA is not in the scope of this WID</w:t>
            </w:r>
          </w:p>
        </w:tc>
      </w:tr>
    </w:tbl>
    <w:p w14:paraId="748E0BE6" w14:textId="77777777" w:rsidR="00B8378E" w:rsidRDefault="00B8378E" w:rsidP="00D24778">
      <w:pPr>
        <w:rPr>
          <w:lang w:eastAsia="ko-KR"/>
        </w:rPr>
      </w:pPr>
    </w:p>
    <w:p w14:paraId="023C1E67" w14:textId="506B1F30" w:rsidR="00B8378E" w:rsidRDefault="00B0205D" w:rsidP="00D24778">
      <w:pPr>
        <w:rPr>
          <w:lang w:eastAsia="ko-KR"/>
        </w:rPr>
      </w:pPr>
      <w:r>
        <w:rPr>
          <w:rFonts w:hint="eastAsia"/>
          <w:lang w:eastAsia="ko-KR"/>
        </w:rPr>
        <w:t>Figure 2-1 shows the targeted deployment sce</w:t>
      </w:r>
      <w:r>
        <w:rPr>
          <w:lang w:eastAsia="ko-KR"/>
        </w:rPr>
        <w:t>narios for Ku band NTN.</w:t>
      </w:r>
    </w:p>
    <w:p w14:paraId="3898637B" w14:textId="492D46DE" w:rsidR="00B0205D" w:rsidRDefault="00B0205D" w:rsidP="00D24778">
      <w:pPr>
        <w:rPr>
          <w:lang w:eastAsia="ko-KR"/>
        </w:rPr>
      </w:pPr>
    </w:p>
    <w:p w14:paraId="4CD99044" w14:textId="7327C355" w:rsidR="00B0205D" w:rsidRPr="00E02232" w:rsidRDefault="00E94B76" w:rsidP="00B0205D">
      <w:pPr>
        <w:jc w:val="center"/>
      </w:pPr>
      <w:r>
        <w:object w:dxaOrig="12361" w:dyaOrig="7606" w14:anchorId="37D79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263.05pt" o:ole="">
            <v:imagedata r:id="rId8" o:title=""/>
          </v:shape>
          <o:OLEObject Type="Embed" ProgID="Visio.Drawing.15" ShapeID="_x0000_i1025" DrawAspect="Content" ObjectID="_1784727282" r:id="rId9"/>
        </w:object>
      </w:r>
    </w:p>
    <w:p w14:paraId="51806E9F" w14:textId="7C92BC05" w:rsidR="00B0205D" w:rsidRDefault="00B0205D" w:rsidP="00B0205D">
      <w:pPr>
        <w:jc w:val="center"/>
      </w:pPr>
      <w:r w:rsidRPr="00C420CC">
        <w:rPr>
          <w:b/>
          <w:bCs/>
        </w:rPr>
        <w:t xml:space="preserve">Figure </w:t>
      </w:r>
      <w:r w:rsidR="00591BAE">
        <w:rPr>
          <w:b/>
          <w:bCs/>
        </w:rPr>
        <w:t>2-1</w:t>
      </w:r>
      <w:r w:rsidRPr="00C420CC">
        <w:rPr>
          <w:b/>
          <w:bCs/>
        </w:rPr>
        <w:t xml:space="preserve">. </w:t>
      </w:r>
      <w:r>
        <w:rPr>
          <w:b/>
          <w:bCs/>
        </w:rPr>
        <w:t>T</w:t>
      </w:r>
      <w:r w:rsidRPr="00880F97">
        <w:rPr>
          <w:b/>
          <w:bCs/>
        </w:rPr>
        <w:t>argeted deployment scenarios</w:t>
      </w:r>
      <w:r>
        <w:rPr>
          <w:b/>
          <w:bCs/>
        </w:rPr>
        <w:t xml:space="preserve"> (Ku band)</w:t>
      </w:r>
    </w:p>
    <w:p w14:paraId="69047CAD" w14:textId="77777777" w:rsidR="00B0205D" w:rsidRPr="00B0205D" w:rsidRDefault="00B0205D" w:rsidP="00D24778">
      <w:pPr>
        <w:rPr>
          <w:lang w:eastAsia="ko-KR"/>
        </w:rPr>
      </w:pPr>
    </w:p>
    <w:p w14:paraId="69670622" w14:textId="0CD4232B" w:rsidR="00615124" w:rsidRPr="001A0464" w:rsidRDefault="00615124" w:rsidP="00E94B76">
      <w:pPr>
        <w:pStyle w:val="31"/>
      </w:pPr>
      <w:r w:rsidRPr="001A0464">
        <w:rPr>
          <w:rFonts w:hint="eastAsia"/>
        </w:rPr>
        <w:t xml:space="preserve">For </w:t>
      </w:r>
      <w:r w:rsidR="00591BAE">
        <w:t>FR1-NTN vs FR2-NTN</w:t>
      </w:r>
      <w:r w:rsidRPr="001A0464">
        <w:t xml:space="preserve">, </w:t>
      </w:r>
    </w:p>
    <w:p w14:paraId="26FB28A1" w14:textId="55E39759" w:rsidR="00591BAE" w:rsidRDefault="00591BAE" w:rsidP="007C495F">
      <w:pPr>
        <w:pStyle w:val="a0"/>
        <w:rPr>
          <w:rFonts w:eastAsiaTheme="minorEastAsia"/>
          <w:bCs/>
          <w:lang w:val="en-US" w:eastAsia="ko-KR"/>
        </w:rPr>
      </w:pPr>
      <w:r>
        <w:rPr>
          <w:rFonts w:eastAsiaTheme="minorEastAsia"/>
          <w:bCs/>
          <w:lang w:val="en-US" w:eastAsia="ko-KR"/>
        </w:rPr>
        <w:t>As seen in Figure 2-1, the targeted Ku band frequency is from 10.7GHz to 14.5GHz.</w:t>
      </w:r>
      <w:r w:rsidR="00C63363">
        <w:rPr>
          <w:rFonts w:eastAsiaTheme="minorEastAsia"/>
          <w:bCs/>
          <w:lang w:val="en-US" w:eastAsia="ko-KR"/>
        </w:rPr>
        <w:t xml:space="preserve"> About 3GHz </w:t>
      </w:r>
      <w:r>
        <w:rPr>
          <w:rFonts w:eastAsiaTheme="minorEastAsia"/>
          <w:bCs/>
          <w:lang w:val="en-US" w:eastAsia="ko-KR"/>
        </w:rPr>
        <w:t>is apart from</w:t>
      </w:r>
      <w:r w:rsidR="00C63363">
        <w:rPr>
          <w:rFonts w:eastAsiaTheme="minorEastAsia"/>
          <w:bCs/>
          <w:lang w:val="en-US" w:eastAsia="ko-KR"/>
        </w:rPr>
        <w:t xml:space="preserve"> FR1-NTN and from FR2-NTN.</w:t>
      </w:r>
    </w:p>
    <w:p w14:paraId="03B8557E" w14:textId="77777777" w:rsidR="00591BAE" w:rsidRDefault="00591BAE" w:rsidP="00591BAE">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91BAE" w14:paraId="27F113B3" w14:textId="77777777" w:rsidTr="00335753">
        <w:trPr>
          <w:cantSplit/>
          <w:jc w:val="center"/>
        </w:trPr>
        <w:tc>
          <w:tcPr>
            <w:tcW w:w="0" w:type="auto"/>
            <w:shd w:val="clear" w:color="auto" w:fill="auto"/>
          </w:tcPr>
          <w:p w14:paraId="51B46DA2" w14:textId="77777777" w:rsidR="00591BAE" w:rsidRDefault="00591BAE" w:rsidP="00335753">
            <w:pPr>
              <w:pStyle w:val="TAH"/>
            </w:pPr>
            <w:r>
              <w:t>Frequency range designation</w:t>
            </w:r>
          </w:p>
        </w:tc>
        <w:tc>
          <w:tcPr>
            <w:tcW w:w="4884" w:type="dxa"/>
            <w:shd w:val="clear" w:color="auto" w:fill="auto"/>
          </w:tcPr>
          <w:p w14:paraId="11DEB5CC" w14:textId="77777777" w:rsidR="00591BAE" w:rsidRDefault="00591BAE" w:rsidP="00335753">
            <w:pPr>
              <w:pStyle w:val="TAH"/>
            </w:pPr>
            <w:r>
              <w:t xml:space="preserve">Corresponding frequency range </w:t>
            </w:r>
          </w:p>
        </w:tc>
      </w:tr>
      <w:tr w:rsidR="00591BAE" w14:paraId="21D46004" w14:textId="77777777" w:rsidTr="00335753">
        <w:trPr>
          <w:cantSplit/>
          <w:jc w:val="center"/>
        </w:trPr>
        <w:tc>
          <w:tcPr>
            <w:tcW w:w="0" w:type="auto"/>
            <w:shd w:val="clear" w:color="auto" w:fill="auto"/>
          </w:tcPr>
          <w:p w14:paraId="668D8388" w14:textId="77777777" w:rsidR="00591BAE" w:rsidRDefault="00591BAE" w:rsidP="00335753">
            <w:pPr>
              <w:pStyle w:val="TAC"/>
            </w:pPr>
            <w:r>
              <w:t>FR1-NTN</w:t>
            </w:r>
            <w:r w:rsidRPr="008B04B1">
              <w:rPr>
                <w:vertAlign w:val="superscript"/>
              </w:rPr>
              <w:t>1</w:t>
            </w:r>
          </w:p>
        </w:tc>
        <w:tc>
          <w:tcPr>
            <w:tcW w:w="4884" w:type="dxa"/>
            <w:shd w:val="clear" w:color="auto" w:fill="auto"/>
          </w:tcPr>
          <w:p w14:paraId="5DFBD983" w14:textId="77777777" w:rsidR="00591BAE" w:rsidRDefault="00591BAE" w:rsidP="00335753">
            <w:pPr>
              <w:pStyle w:val="TAC"/>
            </w:pPr>
            <w:r>
              <w:t>410 MHz – 7125 MHz</w:t>
            </w:r>
          </w:p>
        </w:tc>
      </w:tr>
      <w:tr w:rsidR="00591BAE" w14:paraId="7ED3E7FF" w14:textId="77777777" w:rsidTr="00335753">
        <w:trPr>
          <w:cantSplit/>
          <w:jc w:val="center"/>
        </w:trPr>
        <w:tc>
          <w:tcPr>
            <w:tcW w:w="0" w:type="auto"/>
            <w:shd w:val="clear" w:color="auto" w:fill="auto"/>
          </w:tcPr>
          <w:p w14:paraId="6B7442BB" w14:textId="77777777" w:rsidR="00591BAE" w:rsidRDefault="00591BAE" w:rsidP="00335753">
            <w:pPr>
              <w:pStyle w:val="TAC"/>
            </w:pPr>
            <w:r w:rsidRPr="00174061">
              <w:t>FR2-NTN</w:t>
            </w:r>
            <w:r w:rsidRPr="00174061">
              <w:rPr>
                <w:vertAlign w:val="superscript"/>
              </w:rPr>
              <w:t>2</w:t>
            </w:r>
          </w:p>
        </w:tc>
        <w:tc>
          <w:tcPr>
            <w:tcW w:w="4884" w:type="dxa"/>
            <w:shd w:val="clear" w:color="auto" w:fill="auto"/>
          </w:tcPr>
          <w:p w14:paraId="6630F27F" w14:textId="77777777" w:rsidR="00591BAE" w:rsidRDefault="00591BAE" w:rsidP="00335753">
            <w:pPr>
              <w:pStyle w:val="TAC"/>
            </w:pPr>
            <w:r w:rsidRPr="00174061">
              <w:t>17300 MHz – 30000 MHz</w:t>
            </w:r>
          </w:p>
        </w:tc>
      </w:tr>
      <w:tr w:rsidR="00591BAE" w14:paraId="7036B351" w14:textId="77777777" w:rsidTr="00335753">
        <w:trPr>
          <w:cantSplit/>
          <w:jc w:val="center"/>
        </w:trPr>
        <w:tc>
          <w:tcPr>
            <w:tcW w:w="7611" w:type="dxa"/>
            <w:gridSpan w:val="2"/>
            <w:shd w:val="clear" w:color="auto" w:fill="auto"/>
          </w:tcPr>
          <w:p w14:paraId="22781720" w14:textId="77777777" w:rsidR="00591BAE" w:rsidRPr="00174061" w:rsidRDefault="00591BAE" w:rsidP="00335753">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741BF945" w14:textId="77777777" w:rsidR="00591BAE" w:rsidRPr="00174061" w:rsidRDefault="00591BAE" w:rsidP="00335753">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7D8A0FF3" w14:textId="77777777" w:rsidR="00591BAE" w:rsidRPr="0090590E" w:rsidRDefault="00591BAE" w:rsidP="00591BAE">
      <w:pPr>
        <w:rPr>
          <w:noProof/>
        </w:rPr>
      </w:pPr>
    </w:p>
    <w:p w14:paraId="61C5FE44" w14:textId="7CDD37E3" w:rsidR="00591BAE" w:rsidRDefault="00C63363" w:rsidP="007C495F">
      <w:pPr>
        <w:pStyle w:val="a0"/>
        <w:rPr>
          <w:rFonts w:eastAsiaTheme="minorEastAsia"/>
          <w:bCs/>
          <w:lang w:eastAsia="ko-KR"/>
        </w:rPr>
      </w:pPr>
      <w:r>
        <w:rPr>
          <w:rFonts w:eastAsiaTheme="minorEastAsia" w:hint="eastAsia"/>
          <w:bCs/>
          <w:lang w:eastAsia="ko-KR"/>
        </w:rPr>
        <w:t>Considering the baseline for this work,</w:t>
      </w:r>
    </w:p>
    <w:p w14:paraId="1ECBDB1D" w14:textId="77777777" w:rsidR="00C63363" w:rsidRPr="00B0205D" w:rsidRDefault="00C63363" w:rsidP="00C63363">
      <w:pPr>
        <w:numPr>
          <w:ilvl w:val="0"/>
          <w:numId w:val="33"/>
        </w:numPr>
        <w:overflowPunct w:val="0"/>
        <w:autoSpaceDE w:val="0"/>
        <w:autoSpaceDN w:val="0"/>
        <w:adjustRightInd w:val="0"/>
        <w:jc w:val="both"/>
        <w:textAlignment w:val="baseline"/>
        <w:rPr>
          <w:bCs/>
        </w:rPr>
      </w:pPr>
      <w:r w:rsidRPr="00B0205D">
        <w:rPr>
          <w:bCs/>
        </w:rPr>
        <w:t>GSO and NGSO</w:t>
      </w:r>
    </w:p>
    <w:p w14:paraId="0DA1AFB2" w14:textId="77777777" w:rsidR="00C63363" w:rsidRPr="00B0205D" w:rsidRDefault="00C63363" w:rsidP="00C63363">
      <w:pPr>
        <w:numPr>
          <w:ilvl w:val="0"/>
          <w:numId w:val="33"/>
        </w:numPr>
        <w:overflowPunct w:val="0"/>
        <w:autoSpaceDE w:val="0"/>
        <w:autoSpaceDN w:val="0"/>
        <w:adjustRightInd w:val="0"/>
        <w:jc w:val="both"/>
        <w:textAlignment w:val="baseline"/>
        <w:rPr>
          <w:bCs/>
        </w:rPr>
      </w:pPr>
      <w:r w:rsidRPr="00B0205D">
        <w:rPr>
          <w:bCs/>
        </w:rPr>
        <w:t xml:space="preserve">NTN capable UE type 1 to 5 (38.101-5 </w:t>
      </w:r>
      <w:r w:rsidRPr="00B0205D">
        <w:t xml:space="preserve">Table 9.2.1.0-1) </w:t>
      </w:r>
      <w:r w:rsidRPr="00B0205D">
        <w:rPr>
          <w:bCs/>
        </w:rPr>
        <w:t>for above 10 GHz (no handheld devices)</w:t>
      </w:r>
    </w:p>
    <w:p w14:paraId="0EDDF012" w14:textId="77777777" w:rsidR="00C63363" w:rsidRPr="00B0205D" w:rsidRDefault="00C63363" w:rsidP="00C63363">
      <w:pPr>
        <w:numPr>
          <w:ilvl w:val="0"/>
          <w:numId w:val="33"/>
        </w:numPr>
        <w:overflowPunct w:val="0"/>
        <w:autoSpaceDE w:val="0"/>
        <w:autoSpaceDN w:val="0"/>
        <w:adjustRightInd w:val="0"/>
        <w:jc w:val="both"/>
        <w:textAlignment w:val="baseline"/>
        <w:rPr>
          <w:bCs/>
        </w:rPr>
      </w:pPr>
      <w:r w:rsidRPr="00B0205D">
        <w:rPr>
          <w:bCs/>
        </w:rPr>
        <w:t xml:space="preserve">FDD Mode </w:t>
      </w:r>
    </w:p>
    <w:p w14:paraId="734FA30D" w14:textId="77777777" w:rsidR="00C63363" w:rsidRPr="00B0205D" w:rsidRDefault="00C63363" w:rsidP="00C63363">
      <w:pPr>
        <w:numPr>
          <w:ilvl w:val="0"/>
          <w:numId w:val="33"/>
        </w:numPr>
        <w:overflowPunct w:val="0"/>
        <w:autoSpaceDE w:val="0"/>
        <w:autoSpaceDN w:val="0"/>
        <w:adjustRightInd w:val="0"/>
        <w:jc w:val="both"/>
        <w:textAlignment w:val="baseline"/>
        <w:rPr>
          <w:bCs/>
        </w:rPr>
      </w:pPr>
      <w:r w:rsidRPr="00B0205D">
        <w:rPr>
          <w:bCs/>
        </w:rPr>
        <w:t xml:space="preserve">GNSS Receiver capability </w:t>
      </w:r>
    </w:p>
    <w:p w14:paraId="0B42A812" w14:textId="4AAB0F70" w:rsidR="00C63363" w:rsidRDefault="00C63363" w:rsidP="007C495F">
      <w:pPr>
        <w:pStyle w:val="a0"/>
        <w:rPr>
          <w:rFonts w:eastAsiaTheme="minorEastAsia"/>
          <w:bCs/>
          <w:lang w:eastAsia="ko-KR"/>
        </w:rPr>
      </w:pPr>
      <w:r>
        <w:rPr>
          <w:rFonts w:eastAsiaTheme="minorEastAsia" w:hint="eastAsia"/>
          <w:bCs/>
          <w:lang w:eastAsia="ko-KR"/>
        </w:rPr>
        <w:t xml:space="preserve">UE maximum output power </w:t>
      </w:r>
      <w:r>
        <w:rPr>
          <w:rFonts w:eastAsiaTheme="minorEastAsia"/>
          <w:bCs/>
          <w:lang w:eastAsia="ko-KR"/>
        </w:rPr>
        <w:t>for Ku band should be specified as similar to that of VSAT which was specified with FR2-NTN in Rel-18. Considering it, approach #2 is preferred.</w:t>
      </w:r>
    </w:p>
    <w:p w14:paraId="53A61D0C" w14:textId="7737733B" w:rsidR="00C63363" w:rsidRPr="00B0205D" w:rsidRDefault="00C63363" w:rsidP="00C63363">
      <w:pPr>
        <w:pStyle w:val="af1"/>
        <w:widowControl/>
        <w:numPr>
          <w:ilvl w:val="0"/>
          <w:numId w:val="35"/>
        </w:numPr>
        <w:wordWrap/>
        <w:autoSpaceDE/>
        <w:autoSpaceDN/>
        <w:spacing w:after="160" w:line="259" w:lineRule="auto"/>
        <w:ind w:leftChars="0"/>
        <w:contextualSpacing/>
        <w:rPr>
          <w:rFonts w:ascii="Times New Roman" w:hAnsi="Times New Roman"/>
          <w:szCs w:val="20"/>
        </w:rPr>
      </w:pPr>
      <w:r>
        <w:rPr>
          <w:rFonts w:ascii="Times New Roman" w:hAnsi="Times New Roman"/>
          <w:szCs w:val="20"/>
          <w:lang w:val="en-GB"/>
        </w:rPr>
        <w:t xml:space="preserve">Approach #1 : </w:t>
      </w:r>
      <w:r w:rsidRPr="00B0205D">
        <w:rPr>
          <w:rFonts w:ascii="Times New Roman" w:hAnsi="Times New Roman"/>
          <w:szCs w:val="20"/>
        </w:rPr>
        <w:t>Ku band #1a and #1b as FR1-NTN supporting 20 MHz, 35 MHz, 50 MHz, 70 MHz and 100 MHz channel bandwidths with 30 kHz subcarrier spacing</w:t>
      </w:r>
    </w:p>
    <w:p w14:paraId="26B5266F" w14:textId="068A003A" w:rsidR="00C63363" w:rsidRPr="00B0205D" w:rsidRDefault="00C63363" w:rsidP="00C63363">
      <w:pPr>
        <w:pStyle w:val="af1"/>
        <w:widowControl/>
        <w:numPr>
          <w:ilvl w:val="0"/>
          <w:numId w:val="35"/>
        </w:numPr>
        <w:wordWrap/>
        <w:autoSpaceDE/>
        <w:autoSpaceDN/>
        <w:spacing w:after="160" w:line="259" w:lineRule="auto"/>
        <w:ind w:leftChars="0"/>
        <w:contextualSpacing/>
        <w:rPr>
          <w:rFonts w:ascii="Times New Roman" w:hAnsi="Times New Roman"/>
          <w:szCs w:val="20"/>
        </w:rPr>
      </w:pPr>
      <w:r>
        <w:rPr>
          <w:rFonts w:ascii="Times New Roman" w:hAnsi="Times New Roman"/>
          <w:szCs w:val="20"/>
        </w:rPr>
        <w:t xml:space="preserve">Approach #2: </w:t>
      </w:r>
      <w:r w:rsidRPr="00B0205D">
        <w:rPr>
          <w:rFonts w:ascii="Times New Roman" w:hAnsi="Times New Roman"/>
          <w:szCs w:val="20"/>
        </w:rPr>
        <w:t>Ku band #1a and #1b as FR2-NTN supporting 50 MHz, 100 MHz, 200 MHz, 400 MHz (120kHz SCS only) channel bandwidths with 120 kHz subcarrier spacing</w:t>
      </w:r>
    </w:p>
    <w:p w14:paraId="748C8225" w14:textId="164A9B8C" w:rsidR="00C63363" w:rsidRPr="00E94B76" w:rsidRDefault="00C63363" w:rsidP="00C63363">
      <w:pPr>
        <w:pStyle w:val="4"/>
        <w:keepLines/>
        <w:spacing w:before="120" w:after="180"/>
        <w:rPr>
          <w:rFonts w:eastAsia="SimSun"/>
          <w:bCs w:val="0"/>
          <w:sz w:val="20"/>
          <w:szCs w:val="20"/>
          <w:lang w:eastAsia="zh-CN"/>
        </w:rPr>
      </w:pPr>
      <w:r w:rsidRPr="00000C28">
        <w:rPr>
          <w:rFonts w:eastAsia="SimSun"/>
          <w:bCs w:val="0"/>
          <w:sz w:val="20"/>
          <w:szCs w:val="20"/>
          <w:lang w:val="sv-SE" w:eastAsia="zh-CN"/>
        </w:rPr>
        <w:lastRenderedPageBreak/>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Consider  </w:t>
      </w:r>
      <w:r w:rsidR="00E94B76" w:rsidRPr="00B0205D">
        <w:rPr>
          <w:sz w:val="20"/>
          <w:szCs w:val="20"/>
        </w:rPr>
        <w:t>Ku band #1a and #1b as FR2-NTN</w:t>
      </w:r>
      <w:r w:rsidR="00041169">
        <w:rPr>
          <w:sz w:val="20"/>
          <w:szCs w:val="20"/>
        </w:rPr>
        <w:t>.</w:t>
      </w:r>
    </w:p>
    <w:p w14:paraId="20F78B42" w14:textId="1C74B8FA" w:rsidR="00C63363" w:rsidRDefault="00E94B76" w:rsidP="00002C50">
      <w:pPr>
        <w:pStyle w:val="a0"/>
        <w:rPr>
          <w:rFonts w:eastAsiaTheme="minorEastAsia"/>
          <w:bCs/>
          <w:lang w:val="sv-SE" w:eastAsia="ko-KR"/>
        </w:rPr>
      </w:pPr>
      <w:r>
        <w:rPr>
          <w:rFonts w:eastAsiaTheme="minorEastAsia" w:hint="eastAsia"/>
          <w:bCs/>
          <w:lang w:val="sv-SE" w:eastAsia="ko-KR"/>
        </w:rPr>
        <w:t xml:space="preserve">For example, </w:t>
      </w:r>
      <w:r w:rsidR="00002C50">
        <w:rPr>
          <w:rFonts w:eastAsiaTheme="minorEastAsia"/>
          <w:bCs/>
          <w:lang w:val="sv-SE" w:eastAsia="ko-KR"/>
        </w:rPr>
        <w:t>Ku band #1a/#1bcan be defined with  n</w:t>
      </w:r>
      <w:r w:rsidR="00D11C8F">
        <w:rPr>
          <w:rFonts w:eastAsiaTheme="minorEastAsia"/>
          <w:bCs/>
          <w:lang w:val="sv-SE" w:eastAsia="ko-KR"/>
        </w:rPr>
        <w:t>509</w:t>
      </w:r>
      <w:r w:rsidR="00002C50">
        <w:rPr>
          <w:rFonts w:eastAsiaTheme="minorEastAsia"/>
          <w:bCs/>
          <w:lang w:val="sv-SE" w:eastAsia="ko-KR"/>
        </w:rPr>
        <w:t xml:space="preserve">, </w:t>
      </w:r>
      <w:r w:rsidR="00D11C8F">
        <w:rPr>
          <w:rFonts w:eastAsiaTheme="minorEastAsia"/>
          <w:bCs/>
          <w:lang w:val="sv-SE" w:eastAsia="ko-KR"/>
        </w:rPr>
        <w:t xml:space="preserve">and </w:t>
      </w:r>
      <w:r w:rsidR="00002C50">
        <w:rPr>
          <w:rFonts w:eastAsiaTheme="minorEastAsia"/>
          <w:bCs/>
          <w:lang w:val="sv-SE" w:eastAsia="ko-KR"/>
        </w:rPr>
        <w:t>n</w:t>
      </w:r>
      <w:r w:rsidR="00D11C8F">
        <w:rPr>
          <w:rFonts w:eastAsiaTheme="minorEastAsia"/>
          <w:bCs/>
          <w:lang w:val="sv-SE" w:eastAsia="ko-KR"/>
        </w:rPr>
        <w:t>508</w:t>
      </w:r>
      <w:r w:rsidR="00002C50">
        <w:rPr>
          <w:rFonts w:eastAsiaTheme="minorEastAsia"/>
          <w:bCs/>
          <w:lang w:val="sv-SE" w:eastAsia="ko-KR"/>
        </w:rPr>
        <w:t xml:space="preserve"> respectively. Table 2-1 shows example of Ku band number.</w:t>
      </w:r>
    </w:p>
    <w:p w14:paraId="5E3BD085" w14:textId="09113622" w:rsidR="00002C50" w:rsidRDefault="00002C50" w:rsidP="00002C50">
      <w:pPr>
        <w:pStyle w:val="TH"/>
      </w:pPr>
      <w:r>
        <w:rPr>
          <w:bCs/>
        </w:rPr>
        <w:t xml:space="preserve">Table </w:t>
      </w:r>
      <w:r>
        <w:rPr>
          <w:bCs/>
          <w:lang w:val="en-US"/>
        </w:rPr>
        <w:t>2-1</w:t>
      </w:r>
      <w:r>
        <w:rPr>
          <w:bCs/>
        </w:rPr>
        <w:t xml:space="preserve">: Example of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002C50" w14:paraId="15D93BA2" w14:textId="77777777" w:rsidTr="00002C50">
        <w:trPr>
          <w:trHeight w:val="873"/>
          <w:jc w:val="center"/>
        </w:trPr>
        <w:tc>
          <w:tcPr>
            <w:tcW w:w="1192" w:type="dxa"/>
            <w:shd w:val="clear" w:color="auto" w:fill="auto"/>
          </w:tcPr>
          <w:p w14:paraId="37BB638C" w14:textId="77777777" w:rsidR="00002C50" w:rsidRDefault="00002C50" w:rsidP="00002C50">
            <w:pPr>
              <w:pStyle w:val="TAH"/>
              <w:overflowPunct w:val="0"/>
              <w:autoSpaceDE w:val="0"/>
              <w:autoSpaceDN w:val="0"/>
              <w:adjustRightInd w:val="0"/>
              <w:textAlignment w:val="baseline"/>
            </w:pPr>
            <w:r w:rsidRPr="00002C50">
              <w:rPr>
                <w:rFonts w:eastAsia="Times New Roman"/>
                <w:lang w:eastAsia="en-GB"/>
              </w:rPr>
              <w:t>NTN</w:t>
            </w:r>
            <w:r>
              <w:t xml:space="preserve"> satellite</w:t>
            </w:r>
            <w:r>
              <w:rPr>
                <w:lang w:val="en-US"/>
              </w:rPr>
              <w:t xml:space="preserve"> operating </w:t>
            </w:r>
            <w:r>
              <w:t>band</w:t>
            </w:r>
          </w:p>
        </w:tc>
        <w:tc>
          <w:tcPr>
            <w:tcW w:w="3818" w:type="dxa"/>
            <w:shd w:val="clear" w:color="auto" w:fill="auto"/>
          </w:tcPr>
          <w:p w14:paraId="2AE6B48C" w14:textId="77777777" w:rsidR="00002C50" w:rsidRPr="00002C50" w:rsidRDefault="00002C50" w:rsidP="00002C50">
            <w:pPr>
              <w:pStyle w:val="TAH"/>
              <w:overflowPunct w:val="0"/>
              <w:autoSpaceDE w:val="0"/>
              <w:autoSpaceDN w:val="0"/>
              <w:adjustRightInd w:val="0"/>
              <w:textAlignment w:val="baseline"/>
              <w:rPr>
                <w:rFonts w:eastAsia="Times New Roman"/>
                <w:lang w:eastAsia="en-GB"/>
              </w:rPr>
            </w:pPr>
            <w:r w:rsidRPr="00002C50">
              <w:rPr>
                <w:rFonts w:eastAsia="Times New Roman"/>
                <w:lang w:eastAsia="en-GB"/>
              </w:rPr>
              <w:t>Uplink (UL) operating band</w:t>
            </w:r>
            <w:r w:rsidRPr="00002C50">
              <w:rPr>
                <w:rFonts w:eastAsia="Times New Roman"/>
                <w:lang w:eastAsia="en-GB"/>
              </w:rPr>
              <w:br/>
              <w:t>Satellite Access Node receive / UE transmit</w:t>
            </w:r>
          </w:p>
          <w:p w14:paraId="6FA92BA9" w14:textId="77777777" w:rsidR="00002C50" w:rsidRPr="00002C50" w:rsidRDefault="00002C50" w:rsidP="00002C50">
            <w:pPr>
              <w:pStyle w:val="TAH"/>
              <w:overflowPunct w:val="0"/>
              <w:autoSpaceDE w:val="0"/>
              <w:autoSpaceDN w:val="0"/>
              <w:adjustRightInd w:val="0"/>
              <w:ind w:left="1200" w:hanging="400"/>
              <w:textAlignment w:val="baseline"/>
              <w:rPr>
                <w:rFonts w:eastAsia="Times New Roman"/>
                <w:lang w:eastAsia="en-GB"/>
              </w:rPr>
            </w:pPr>
            <w:r w:rsidRPr="00002C50">
              <w:rPr>
                <w:rFonts w:eastAsia="Times New Roman"/>
                <w:lang w:eastAsia="en-GB"/>
              </w:rPr>
              <w:t>F</w:t>
            </w:r>
            <w:r w:rsidRPr="00002C50">
              <w:rPr>
                <w:rFonts w:eastAsia="Times New Roman"/>
                <w:vertAlign w:val="subscript"/>
                <w:lang w:eastAsia="en-GB"/>
              </w:rPr>
              <w:t>UL,low</w:t>
            </w:r>
            <w:r w:rsidRPr="00002C50">
              <w:rPr>
                <w:rFonts w:eastAsia="Times New Roman"/>
                <w:lang w:eastAsia="en-GB"/>
              </w:rPr>
              <w:t xml:space="preserve">   –  F</w:t>
            </w:r>
            <w:r w:rsidRPr="00002C50">
              <w:rPr>
                <w:rFonts w:eastAsia="Times New Roman"/>
                <w:vertAlign w:val="subscript"/>
                <w:lang w:eastAsia="en-GB"/>
              </w:rPr>
              <w:t>UL,high</w:t>
            </w:r>
          </w:p>
        </w:tc>
        <w:tc>
          <w:tcPr>
            <w:tcW w:w="3840" w:type="dxa"/>
          </w:tcPr>
          <w:p w14:paraId="47FCD334" w14:textId="77777777" w:rsidR="00002C50" w:rsidRPr="00002C50" w:rsidRDefault="00002C50" w:rsidP="00002C50">
            <w:pPr>
              <w:pStyle w:val="TAH"/>
              <w:overflowPunct w:val="0"/>
              <w:autoSpaceDE w:val="0"/>
              <w:autoSpaceDN w:val="0"/>
              <w:adjustRightInd w:val="0"/>
              <w:textAlignment w:val="baseline"/>
              <w:rPr>
                <w:rFonts w:eastAsia="Times New Roman"/>
                <w:lang w:eastAsia="en-GB"/>
              </w:rPr>
            </w:pPr>
            <w:r w:rsidRPr="00002C50">
              <w:rPr>
                <w:rFonts w:eastAsia="Times New Roman"/>
                <w:lang w:eastAsia="en-GB"/>
              </w:rPr>
              <w:t>Downlink (DL) operating band</w:t>
            </w:r>
            <w:r w:rsidRPr="00002C50">
              <w:rPr>
                <w:rFonts w:eastAsia="Times New Roman"/>
                <w:lang w:eastAsia="en-GB"/>
              </w:rPr>
              <w:br/>
              <w:t>Satellite Access Node transmit / UE receive</w:t>
            </w:r>
          </w:p>
          <w:p w14:paraId="493F3F71" w14:textId="77777777" w:rsidR="00002C50" w:rsidRPr="00002C50" w:rsidRDefault="00002C50" w:rsidP="00002C50">
            <w:pPr>
              <w:pStyle w:val="TAH"/>
              <w:overflowPunct w:val="0"/>
              <w:autoSpaceDE w:val="0"/>
              <w:autoSpaceDN w:val="0"/>
              <w:adjustRightInd w:val="0"/>
              <w:ind w:left="1200" w:hanging="400"/>
              <w:textAlignment w:val="baseline"/>
              <w:rPr>
                <w:rFonts w:eastAsia="Times New Roman"/>
                <w:lang w:eastAsia="en-GB"/>
              </w:rPr>
            </w:pPr>
            <w:r w:rsidRPr="00002C50">
              <w:rPr>
                <w:rFonts w:eastAsia="Times New Roman"/>
                <w:lang w:eastAsia="en-GB"/>
              </w:rPr>
              <w:t>F</w:t>
            </w:r>
            <w:r w:rsidRPr="00002C50">
              <w:rPr>
                <w:rFonts w:eastAsia="Times New Roman"/>
                <w:vertAlign w:val="subscript"/>
                <w:lang w:eastAsia="en-GB"/>
              </w:rPr>
              <w:t>DL,low</w:t>
            </w:r>
            <w:r w:rsidRPr="00002C50">
              <w:rPr>
                <w:rFonts w:eastAsia="Times New Roman"/>
                <w:lang w:eastAsia="en-GB"/>
              </w:rPr>
              <w:t xml:space="preserve">   –  F</w:t>
            </w:r>
            <w:r w:rsidRPr="00002C50">
              <w:rPr>
                <w:rFonts w:eastAsia="Times New Roman"/>
                <w:vertAlign w:val="subscript"/>
                <w:lang w:eastAsia="en-GB"/>
              </w:rPr>
              <w:t>DL,high</w:t>
            </w:r>
            <w:r w:rsidRPr="00002C50">
              <w:rPr>
                <w:rFonts w:eastAsia="Times New Roman"/>
                <w:lang w:eastAsia="en-GB"/>
              </w:rPr>
              <w:t xml:space="preserve"> </w:t>
            </w:r>
          </w:p>
        </w:tc>
        <w:tc>
          <w:tcPr>
            <w:tcW w:w="886" w:type="dxa"/>
          </w:tcPr>
          <w:p w14:paraId="1A71ABD1" w14:textId="1FF84861" w:rsidR="00002C50" w:rsidRDefault="00002C50" w:rsidP="00002C50">
            <w:pPr>
              <w:pStyle w:val="TAH"/>
              <w:overflowPunct w:val="0"/>
              <w:autoSpaceDE w:val="0"/>
              <w:autoSpaceDN w:val="0"/>
              <w:adjustRightInd w:val="0"/>
              <w:textAlignment w:val="baseline"/>
            </w:pPr>
            <w:r w:rsidRPr="00002C50">
              <w:rPr>
                <w:rFonts w:eastAsia="Times New Roman"/>
                <w:lang w:eastAsia="en-GB"/>
              </w:rPr>
              <w:t>Duplex mode</w:t>
            </w:r>
          </w:p>
        </w:tc>
      </w:tr>
      <w:tr w:rsidR="00002C50" w14:paraId="1EF5685D" w14:textId="77777777" w:rsidTr="00335753">
        <w:trPr>
          <w:jc w:val="center"/>
        </w:trPr>
        <w:tc>
          <w:tcPr>
            <w:tcW w:w="1192" w:type="dxa"/>
            <w:shd w:val="clear" w:color="auto" w:fill="auto"/>
            <w:vAlign w:val="center"/>
          </w:tcPr>
          <w:p w14:paraId="49D16D00" w14:textId="71014826" w:rsidR="00002C50" w:rsidRDefault="00002C50" w:rsidP="00002C50">
            <w:pPr>
              <w:pStyle w:val="TAC"/>
            </w:pPr>
            <w:r w:rsidRPr="008D1263">
              <w:rPr>
                <w:lang w:val="sv-SE"/>
              </w:rPr>
              <w:t>n512</w:t>
            </w:r>
            <w:r w:rsidRPr="008D1263">
              <w:rPr>
                <w:vertAlign w:val="superscript"/>
                <w:lang w:val="sv-SE"/>
              </w:rPr>
              <w:t>1</w:t>
            </w:r>
          </w:p>
        </w:tc>
        <w:tc>
          <w:tcPr>
            <w:tcW w:w="3818" w:type="dxa"/>
            <w:shd w:val="clear" w:color="auto" w:fill="auto"/>
            <w:vAlign w:val="center"/>
          </w:tcPr>
          <w:p w14:paraId="024F66DB" w14:textId="17AD3BAC" w:rsidR="00002C50" w:rsidRDefault="00002C50" w:rsidP="00002C50">
            <w:pPr>
              <w:pStyle w:val="TAC"/>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3840" w:type="dxa"/>
            <w:vAlign w:val="center"/>
          </w:tcPr>
          <w:p w14:paraId="3B298878" w14:textId="2EFBD3CF" w:rsidR="00002C50" w:rsidRDefault="00002C50" w:rsidP="00002C50">
            <w:pPr>
              <w:pStyle w:val="TAC"/>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86" w:type="dxa"/>
          </w:tcPr>
          <w:p w14:paraId="4365442E" w14:textId="3498AD58" w:rsidR="00002C50" w:rsidRDefault="00002C50" w:rsidP="00002C50">
            <w:pPr>
              <w:pStyle w:val="TAC"/>
            </w:pPr>
            <w:r w:rsidRPr="008D1263">
              <w:rPr>
                <w:lang w:val="sv-SE"/>
              </w:rPr>
              <w:t>FDD</w:t>
            </w:r>
          </w:p>
        </w:tc>
      </w:tr>
      <w:tr w:rsidR="00002C50" w14:paraId="79390256" w14:textId="77777777" w:rsidTr="00335753">
        <w:trPr>
          <w:jc w:val="center"/>
        </w:trPr>
        <w:tc>
          <w:tcPr>
            <w:tcW w:w="1192" w:type="dxa"/>
            <w:shd w:val="clear" w:color="auto" w:fill="auto"/>
            <w:vAlign w:val="center"/>
          </w:tcPr>
          <w:p w14:paraId="47B16E7C" w14:textId="68E3219C" w:rsidR="00002C50" w:rsidRDefault="00002C50" w:rsidP="00002C50">
            <w:pPr>
              <w:pStyle w:val="TAC"/>
            </w:pPr>
            <w:r w:rsidRPr="008D1263">
              <w:rPr>
                <w:lang w:val="sv-SE"/>
              </w:rPr>
              <w:t>n511</w:t>
            </w:r>
            <w:r w:rsidRPr="008D1263">
              <w:rPr>
                <w:vertAlign w:val="superscript"/>
                <w:lang w:val="sv-SE"/>
              </w:rPr>
              <w:t>2</w:t>
            </w:r>
          </w:p>
        </w:tc>
        <w:tc>
          <w:tcPr>
            <w:tcW w:w="3818" w:type="dxa"/>
            <w:shd w:val="clear" w:color="auto" w:fill="auto"/>
            <w:vAlign w:val="center"/>
          </w:tcPr>
          <w:p w14:paraId="7CE85573" w14:textId="02635993" w:rsidR="00002C50" w:rsidRDefault="00002C50" w:rsidP="00002C50">
            <w:pPr>
              <w:pStyle w:val="TAC"/>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3840" w:type="dxa"/>
            <w:vAlign w:val="center"/>
          </w:tcPr>
          <w:p w14:paraId="782304C6" w14:textId="3CFE8958" w:rsidR="00002C50" w:rsidRDefault="00002C50" w:rsidP="00002C50">
            <w:pPr>
              <w:pStyle w:val="TAC"/>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86" w:type="dxa"/>
          </w:tcPr>
          <w:p w14:paraId="727B24A0" w14:textId="58DB7704" w:rsidR="00002C50" w:rsidRDefault="00002C50" w:rsidP="00002C50">
            <w:pPr>
              <w:pStyle w:val="TAC"/>
            </w:pPr>
            <w:r w:rsidRPr="008D1263">
              <w:rPr>
                <w:lang w:val="sv-SE"/>
              </w:rPr>
              <w:t>FDD</w:t>
            </w:r>
          </w:p>
        </w:tc>
      </w:tr>
      <w:tr w:rsidR="00002C50" w14:paraId="58CF3F4F" w14:textId="77777777" w:rsidTr="00335753">
        <w:trPr>
          <w:jc w:val="center"/>
        </w:trPr>
        <w:tc>
          <w:tcPr>
            <w:tcW w:w="1192" w:type="dxa"/>
            <w:shd w:val="clear" w:color="auto" w:fill="auto"/>
            <w:vAlign w:val="center"/>
          </w:tcPr>
          <w:p w14:paraId="1B1B92F5" w14:textId="0143EFEA" w:rsidR="00002C50" w:rsidRDefault="00002C50" w:rsidP="00002C50">
            <w:pPr>
              <w:pStyle w:val="TAC"/>
            </w:pPr>
            <w:r w:rsidRPr="008D1263">
              <w:rPr>
                <w:lang w:val="sv-SE"/>
              </w:rPr>
              <w:t>n510</w:t>
            </w:r>
            <w:r w:rsidRPr="008D1263">
              <w:rPr>
                <w:vertAlign w:val="superscript"/>
                <w:lang w:val="sv-SE"/>
              </w:rPr>
              <w:t>3</w:t>
            </w:r>
          </w:p>
        </w:tc>
        <w:tc>
          <w:tcPr>
            <w:tcW w:w="3818" w:type="dxa"/>
            <w:shd w:val="clear" w:color="auto" w:fill="auto"/>
            <w:vAlign w:val="center"/>
          </w:tcPr>
          <w:p w14:paraId="0BE18245" w14:textId="0A0D79B5" w:rsidR="00002C50" w:rsidRDefault="00002C50" w:rsidP="00002C50">
            <w:pPr>
              <w:pStyle w:val="TAC"/>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3840" w:type="dxa"/>
            <w:vAlign w:val="center"/>
          </w:tcPr>
          <w:p w14:paraId="654F4C8F" w14:textId="7DA4B9BD" w:rsidR="00002C50" w:rsidRDefault="00002C50" w:rsidP="00002C50">
            <w:pPr>
              <w:pStyle w:val="TAC"/>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86" w:type="dxa"/>
          </w:tcPr>
          <w:p w14:paraId="2E38EC55" w14:textId="64FF1E57" w:rsidR="00002C50" w:rsidRDefault="00002C50" w:rsidP="00002C50">
            <w:pPr>
              <w:pStyle w:val="TAC"/>
            </w:pPr>
            <w:r w:rsidRPr="008D1263">
              <w:rPr>
                <w:lang w:val="sv-SE"/>
              </w:rPr>
              <w:t>FDD</w:t>
            </w:r>
          </w:p>
        </w:tc>
      </w:tr>
      <w:tr w:rsidR="00002C50" w14:paraId="07A4F896" w14:textId="77777777" w:rsidTr="00335753">
        <w:trPr>
          <w:jc w:val="center"/>
        </w:trPr>
        <w:tc>
          <w:tcPr>
            <w:tcW w:w="1192" w:type="dxa"/>
            <w:shd w:val="clear" w:color="auto" w:fill="auto"/>
          </w:tcPr>
          <w:p w14:paraId="21BCB003" w14:textId="7D8AADA0" w:rsidR="00002C50" w:rsidRPr="0001785E" w:rsidRDefault="00D11C8F" w:rsidP="00002C50">
            <w:pPr>
              <w:pStyle w:val="TAC"/>
              <w:rPr>
                <w:rFonts w:eastAsiaTheme="minorEastAsia"/>
                <w:highlight w:val="yellow"/>
                <w:lang w:eastAsia="ko-KR"/>
              </w:rPr>
            </w:pPr>
            <w:r>
              <w:rPr>
                <w:rFonts w:eastAsiaTheme="minorEastAsia"/>
                <w:highlight w:val="yellow"/>
                <w:lang w:eastAsia="ko-KR"/>
              </w:rPr>
              <w:t>n</w:t>
            </w:r>
            <w:r w:rsidR="00002C50">
              <w:rPr>
                <w:rFonts w:eastAsiaTheme="minorEastAsia"/>
                <w:highlight w:val="yellow"/>
                <w:lang w:eastAsia="ko-KR"/>
              </w:rPr>
              <w:t>509</w:t>
            </w:r>
            <w:r w:rsidR="00002C50">
              <w:rPr>
                <w:rFonts w:eastAsiaTheme="minorEastAsia"/>
                <w:highlight w:val="yellow"/>
                <w:vertAlign w:val="superscript"/>
                <w:lang w:eastAsia="ko-KR"/>
              </w:rPr>
              <w:t>4</w:t>
            </w:r>
          </w:p>
        </w:tc>
        <w:tc>
          <w:tcPr>
            <w:tcW w:w="3818" w:type="dxa"/>
            <w:shd w:val="clear" w:color="auto" w:fill="auto"/>
          </w:tcPr>
          <w:p w14:paraId="5EB935A9" w14:textId="77777777" w:rsidR="00002C50" w:rsidRPr="00715883" w:rsidRDefault="00002C50" w:rsidP="00335753">
            <w:pPr>
              <w:pStyle w:val="TAC"/>
            </w:pPr>
            <w:r w:rsidRPr="0001785E">
              <w:t>1375</w:t>
            </w:r>
            <w:r>
              <w:t xml:space="preserve">0 MHz </w:t>
            </w:r>
            <w:r w:rsidRPr="00715883">
              <w:t>–</w:t>
            </w:r>
            <w:r>
              <w:t xml:space="preserve"> </w:t>
            </w:r>
            <w:r w:rsidRPr="0001785E">
              <w:t>145</w:t>
            </w:r>
            <w:r>
              <w:t>00</w:t>
            </w:r>
            <w:r w:rsidRPr="0001785E">
              <w:t xml:space="preserve"> </w:t>
            </w:r>
            <w:r>
              <w:t>M</w:t>
            </w:r>
            <w:r w:rsidRPr="0001785E">
              <w:t>Hz</w:t>
            </w:r>
          </w:p>
        </w:tc>
        <w:tc>
          <w:tcPr>
            <w:tcW w:w="3840" w:type="dxa"/>
          </w:tcPr>
          <w:p w14:paraId="024C74AE" w14:textId="77777777" w:rsidR="00002C50" w:rsidRPr="00715883" w:rsidRDefault="00002C50" w:rsidP="00335753">
            <w:pPr>
              <w:pStyle w:val="TAC"/>
            </w:pPr>
            <w:r w:rsidRPr="0001785E">
              <w:t>1</w:t>
            </w:r>
            <w:r>
              <w:t xml:space="preserve">0700 MHz </w:t>
            </w:r>
            <w:r w:rsidRPr="00715883">
              <w:t>–</w:t>
            </w:r>
            <w:r>
              <w:t xml:space="preserve"> </w:t>
            </w:r>
            <w:r w:rsidRPr="0001785E">
              <w:t>1</w:t>
            </w:r>
            <w:r>
              <w:t>2750</w:t>
            </w:r>
            <w:r w:rsidRPr="0001785E">
              <w:t xml:space="preserve"> </w:t>
            </w:r>
            <w:r>
              <w:t>M</w:t>
            </w:r>
            <w:r w:rsidRPr="0001785E">
              <w:t>Hz</w:t>
            </w:r>
          </w:p>
        </w:tc>
        <w:tc>
          <w:tcPr>
            <w:tcW w:w="886" w:type="dxa"/>
          </w:tcPr>
          <w:p w14:paraId="4A24FA59" w14:textId="77777777" w:rsidR="00002C50" w:rsidRDefault="00002C50" w:rsidP="00335753">
            <w:pPr>
              <w:pStyle w:val="TAC"/>
            </w:pPr>
            <w:r w:rsidRPr="00D00C7B">
              <w:t>FDD</w:t>
            </w:r>
          </w:p>
        </w:tc>
      </w:tr>
      <w:tr w:rsidR="00002C50" w14:paraId="04601A00" w14:textId="77777777" w:rsidTr="00335753">
        <w:trPr>
          <w:jc w:val="center"/>
        </w:trPr>
        <w:tc>
          <w:tcPr>
            <w:tcW w:w="1192" w:type="dxa"/>
            <w:shd w:val="clear" w:color="auto" w:fill="auto"/>
          </w:tcPr>
          <w:p w14:paraId="5EE14B36" w14:textId="7A5639CF" w:rsidR="00002C50" w:rsidRPr="0001785E" w:rsidRDefault="00D11C8F" w:rsidP="00002C50">
            <w:pPr>
              <w:pStyle w:val="TAC"/>
              <w:rPr>
                <w:highlight w:val="yellow"/>
              </w:rPr>
            </w:pPr>
            <w:r>
              <w:rPr>
                <w:rFonts w:eastAsiaTheme="minorEastAsia"/>
                <w:highlight w:val="yellow"/>
                <w:lang w:eastAsia="ko-KR"/>
              </w:rPr>
              <w:t>n</w:t>
            </w:r>
            <w:r w:rsidR="00002C50">
              <w:rPr>
                <w:rFonts w:eastAsiaTheme="minorEastAsia"/>
                <w:highlight w:val="yellow"/>
                <w:lang w:eastAsia="ko-KR"/>
              </w:rPr>
              <w:t>508</w:t>
            </w:r>
            <w:r w:rsidR="00002C50">
              <w:rPr>
                <w:rFonts w:eastAsiaTheme="minorEastAsia"/>
                <w:highlight w:val="yellow"/>
                <w:vertAlign w:val="superscript"/>
                <w:lang w:eastAsia="ko-KR"/>
              </w:rPr>
              <w:t>5</w:t>
            </w:r>
          </w:p>
        </w:tc>
        <w:tc>
          <w:tcPr>
            <w:tcW w:w="3818" w:type="dxa"/>
            <w:shd w:val="clear" w:color="auto" w:fill="auto"/>
          </w:tcPr>
          <w:p w14:paraId="040F43B7" w14:textId="77777777" w:rsidR="00002C50" w:rsidRPr="00715883" w:rsidRDefault="00002C50" w:rsidP="00335753">
            <w:pPr>
              <w:pStyle w:val="TAC"/>
            </w:pPr>
            <w:r w:rsidRPr="0001785E">
              <w:t>1375</w:t>
            </w:r>
            <w:r>
              <w:t xml:space="preserve">0 MHz </w:t>
            </w:r>
            <w:r w:rsidRPr="00715883">
              <w:t>–</w:t>
            </w:r>
            <w:r>
              <w:t xml:space="preserve"> </w:t>
            </w:r>
            <w:r w:rsidRPr="0001785E">
              <w:t>145</w:t>
            </w:r>
            <w:r>
              <w:t>00</w:t>
            </w:r>
            <w:r w:rsidRPr="0001785E">
              <w:t xml:space="preserve"> </w:t>
            </w:r>
            <w:r>
              <w:t>M</w:t>
            </w:r>
            <w:r w:rsidRPr="0001785E">
              <w:t>Hz</w:t>
            </w:r>
          </w:p>
        </w:tc>
        <w:tc>
          <w:tcPr>
            <w:tcW w:w="3840" w:type="dxa"/>
          </w:tcPr>
          <w:p w14:paraId="58A588F0" w14:textId="77777777" w:rsidR="00002C50" w:rsidRPr="00715883" w:rsidRDefault="00002C50" w:rsidP="00335753">
            <w:pPr>
              <w:pStyle w:val="TAC"/>
            </w:pPr>
            <w:r w:rsidRPr="0001785E">
              <w:t>1</w:t>
            </w:r>
            <w:r>
              <w:t xml:space="preserve">0700 MHz </w:t>
            </w:r>
            <w:r w:rsidRPr="00715883">
              <w:t>–</w:t>
            </w:r>
            <w:r>
              <w:t xml:space="preserve"> </w:t>
            </w:r>
            <w:r w:rsidRPr="0001785E">
              <w:t>1</w:t>
            </w:r>
            <w:r>
              <w:t>2700</w:t>
            </w:r>
            <w:r w:rsidRPr="0001785E">
              <w:t xml:space="preserve"> </w:t>
            </w:r>
            <w:r>
              <w:t>M</w:t>
            </w:r>
            <w:r w:rsidRPr="0001785E">
              <w:t>Hz</w:t>
            </w:r>
          </w:p>
        </w:tc>
        <w:tc>
          <w:tcPr>
            <w:tcW w:w="886" w:type="dxa"/>
          </w:tcPr>
          <w:p w14:paraId="618347A3" w14:textId="77777777" w:rsidR="00002C50" w:rsidRDefault="00002C50" w:rsidP="00335753">
            <w:pPr>
              <w:pStyle w:val="TAC"/>
            </w:pPr>
            <w:r w:rsidRPr="00D00C7B">
              <w:t>FDD</w:t>
            </w:r>
          </w:p>
        </w:tc>
      </w:tr>
      <w:tr w:rsidR="00002C50" w14:paraId="13B3D65C" w14:textId="77777777" w:rsidTr="00335753">
        <w:trPr>
          <w:jc w:val="center"/>
        </w:trPr>
        <w:tc>
          <w:tcPr>
            <w:tcW w:w="9736" w:type="dxa"/>
            <w:gridSpan w:val="4"/>
            <w:shd w:val="clear" w:color="auto" w:fill="auto"/>
            <w:vAlign w:val="center"/>
          </w:tcPr>
          <w:p w14:paraId="6ED53B70" w14:textId="77777777" w:rsidR="00002C50" w:rsidRPr="008D1263" w:rsidRDefault="00002C50" w:rsidP="00002C50">
            <w:pPr>
              <w:pStyle w:val="TAN"/>
            </w:pPr>
            <w:r w:rsidRPr="00CF3C07">
              <w:t>N</w:t>
            </w:r>
            <w:r>
              <w:t>OTE</w:t>
            </w:r>
            <w:r w:rsidRPr="008D1263">
              <w:t xml:space="preserve"> 1:</w:t>
            </w:r>
            <w:r>
              <w:tab/>
            </w:r>
            <w:r w:rsidRPr="008D1263">
              <w:t xml:space="preserve">This band is applicable in the countries subject to CEPT ECC Decision(05)01 and ECC Decision (13)01. </w:t>
            </w:r>
          </w:p>
          <w:p w14:paraId="0556295C" w14:textId="77777777" w:rsidR="00002C50" w:rsidRPr="008D1263" w:rsidRDefault="00002C50" w:rsidP="00002C50">
            <w:pPr>
              <w:pStyle w:val="TAN"/>
            </w:pPr>
            <w:r w:rsidRPr="00CF3C07">
              <w:t>N</w:t>
            </w:r>
            <w:r>
              <w:t>OTE</w:t>
            </w:r>
            <w:r w:rsidRPr="008D1263">
              <w:t xml:space="preserve"> 2:</w:t>
            </w:r>
            <w:r>
              <w:tab/>
            </w:r>
            <w:r w:rsidRPr="008D1263">
              <w:t>This band is applicable in the USA subject to FCC 47 CFR part 25.</w:t>
            </w:r>
          </w:p>
          <w:p w14:paraId="557D50AA" w14:textId="77777777" w:rsidR="00002C50" w:rsidRDefault="00002C50" w:rsidP="00002C50">
            <w:pPr>
              <w:pStyle w:val="TAN"/>
            </w:pPr>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p>
          <w:p w14:paraId="438C63F9" w14:textId="77777777" w:rsidR="00002C50" w:rsidRDefault="00002C50" w:rsidP="00002C50">
            <w:pPr>
              <w:pStyle w:val="TAN"/>
            </w:pPr>
            <w:r>
              <w:t xml:space="preserve">NOTE 4:  This band is for ITU regions 1 and 3. </w:t>
            </w:r>
          </w:p>
          <w:p w14:paraId="0438D79A" w14:textId="7BE4159B" w:rsidR="00002C50" w:rsidRDefault="00002C50" w:rsidP="00002C50">
            <w:pPr>
              <w:pStyle w:val="TAN"/>
              <w:rPr>
                <w:b/>
                <w:lang w:eastAsia="ja-JP"/>
              </w:rPr>
            </w:pPr>
            <w:r>
              <w:t>NOTE 5:  This band is for ITU region 2 excluding US.</w:t>
            </w:r>
          </w:p>
        </w:tc>
      </w:tr>
    </w:tbl>
    <w:p w14:paraId="75334FBA" w14:textId="77777777" w:rsidR="00002C50" w:rsidRDefault="00002C50" w:rsidP="00002C50"/>
    <w:p w14:paraId="58CEBAB3" w14:textId="77777777" w:rsidR="00E94B76" w:rsidRPr="00002C50" w:rsidRDefault="00E94B76" w:rsidP="007C495F">
      <w:pPr>
        <w:pStyle w:val="a0"/>
        <w:rPr>
          <w:rFonts w:eastAsiaTheme="minorEastAsia"/>
          <w:bCs/>
          <w:lang w:eastAsia="ko-KR"/>
        </w:rPr>
      </w:pPr>
    </w:p>
    <w:p w14:paraId="4A8A0859" w14:textId="7F83E701" w:rsidR="00E94B76" w:rsidRPr="00E94B76" w:rsidRDefault="00E94B76" w:rsidP="00E94B76">
      <w:pPr>
        <w:pStyle w:val="31"/>
      </w:pPr>
      <w:r w:rsidRPr="00E94B76">
        <w:t xml:space="preserve">For </w:t>
      </w:r>
      <w:r w:rsidR="00D11C8F">
        <w:t>Ku band #2a/2b</w:t>
      </w:r>
    </w:p>
    <w:p w14:paraId="7C0442F7" w14:textId="6AB9C12C" w:rsidR="00E94B76" w:rsidRPr="00E94B76" w:rsidRDefault="00D11C8F" w:rsidP="007C495F">
      <w:pPr>
        <w:pStyle w:val="a0"/>
        <w:rPr>
          <w:rFonts w:eastAsiaTheme="minorEastAsia"/>
          <w:bCs/>
          <w:lang w:val="en-US" w:eastAsia="ko-KR"/>
        </w:rPr>
      </w:pPr>
      <w:r>
        <w:rPr>
          <w:rFonts w:eastAsiaTheme="minorEastAsia"/>
          <w:bCs/>
          <w:lang w:val="en-US" w:eastAsia="ko-KR"/>
        </w:rPr>
        <w:t xml:space="preserve">In </w:t>
      </w:r>
      <w:r>
        <w:rPr>
          <w:rFonts w:eastAsiaTheme="minorEastAsia" w:hint="eastAsia"/>
          <w:bCs/>
          <w:lang w:val="en-US" w:eastAsia="ko-KR"/>
        </w:rPr>
        <w:t>Ku band #2a/#2b</w:t>
      </w:r>
      <w:r>
        <w:rPr>
          <w:rFonts w:eastAsiaTheme="minorEastAsia"/>
          <w:bCs/>
          <w:lang w:val="en-US" w:eastAsia="ko-KR"/>
        </w:rPr>
        <w:t xml:space="preserve">, there is no frequency gap between downlink band and uplink band. To guarantee FDD operation in the Ku band #2a/#2b, some frequency gap needs to be considered.  </w:t>
      </w:r>
    </w:p>
    <w:p w14:paraId="4DC2851F" w14:textId="459E21C3" w:rsidR="00B9221B" w:rsidRDefault="00B9221B" w:rsidP="00B9221B">
      <w:r>
        <w:t>M</w:t>
      </w:r>
      <w:r w:rsidRPr="00B9221B">
        <w:t xml:space="preserve">inimum and maximum of </w:t>
      </w:r>
      <w:r w:rsidRPr="00B9221B">
        <w:rPr>
          <w:rFonts w:hint="eastAsia"/>
        </w:rPr>
        <w:t>Tx-Rx carrier centre frequency separation</w:t>
      </w:r>
      <w:r>
        <w:rPr>
          <w:rFonts w:hint="eastAsia"/>
        </w:rPr>
        <w:t xml:space="preserve"> can be </w:t>
      </w:r>
      <w:r>
        <w:t>calculated</w:t>
      </w:r>
      <w:r>
        <w:rPr>
          <w:rFonts w:hint="eastAsia"/>
        </w:rPr>
        <w:t xml:space="preserve"> </w:t>
      </w:r>
      <w:r>
        <w:t>as follows.</w:t>
      </w:r>
    </w:p>
    <w:p w14:paraId="3A79C34A" w14:textId="4B8CFE06" w:rsidR="00B9221B" w:rsidRDefault="00B9221B" w:rsidP="00B9221B">
      <w:pPr>
        <w:pStyle w:val="af1"/>
        <w:widowControl/>
        <w:numPr>
          <w:ilvl w:val="0"/>
          <w:numId w:val="35"/>
        </w:numPr>
        <w:wordWrap/>
        <w:autoSpaceDE/>
        <w:autoSpaceDN/>
        <w:spacing w:after="160" w:line="259" w:lineRule="auto"/>
        <w:ind w:leftChars="0"/>
        <w:contextualSpacing/>
        <w:rPr>
          <w:rFonts w:ascii="Times New Roman" w:eastAsia="Times New Roman" w:hAnsi="Times New Roman"/>
          <w:lang w:eastAsia="en-GB"/>
        </w:rPr>
      </w:pPr>
      <w:r>
        <w:rPr>
          <w:rFonts w:ascii="Times New Roman" w:eastAsia="Times New Roman" w:hAnsi="Times New Roman"/>
          <w:lang w:eastAsia="en-GB"/>
        </w:rPr>
        <w:t>Minimum = (DL lowest edge frequency + minimum of supported CBW/2) - (UL highest edge frequency - minimum of supported CBW/2)</w:t>
      </w:r>
    </w:p>
    <w:p w14:paraId="6C45BD3B" w14:textId="63391155" w:rsidR="00B9221B" w:rsidRDefault="00B9221B" w:rsidP="00B9221B">
      <w:pPr>
        <w:pStyle w:val="af1"/>
        <w:widowControl/>
        <w:numPr>
          <w:ilvl w:val="0"/>
          <w:numId w:val="35"/>
        </w:numPr>
        <w:wordWrap/>
        <w:autoSpaceDE/>
        <w:autoSpaceDN/>
        <w:spacing w:after="160" w:line="259" w:lineRule="auto"/>
        <w:ind w:leftChars="0"/>
        <w:contextualSpacing/>
        <w:rPr>
          <w:rFonts w:ascii="Times New Roman" w:eastAsia="Times New Roman" w:hAnsi="Times New Roman"/>
          <w:lang w:eastAsia="en-GB"/>
        </w:rPr>
      </w:pPr>
      <w:r>
        <w:rPr>
          <w:rFonts w:ascii="Times New Roman" w:eastAsiaTheme="minorEastAsia" w:hAnsi="Times New Roman" w:hint="eastAsia"/>
        </w:rPr>
        <w:t xml:space="preserve">Maximum = </w:t>
      </w:r>
      <w:r>
        <w:rPr>
          <w:rFonts w:ascii="Times New Roman" w:eastAsia="Times New Roman" w:hAnsi="Times New Roman"/>
          <w:lang w:eastAsia="en-GB"/>
        </w:rPr>
        <w:t>(DL highest edge frequency - minimum of supported CBW/2) - (UL lowest edge frequency + minimum of supported CBW/2)</w:t>
      </w:r>
    </w:p>
    <w:p w14:paraId="2E970996" w14:textId="67F3B6BA" w:rsidR="00B9221B" w:rsidRDefault="00B9221B" w:rsidP="00B9221B">
      <w:r>
        <w:t xml:space="preserve">If </w:t>
      </w:r>
      <w:r>
        <w:rPr>
          <w:rFonts w:hint="eastAsia"/>
        </w:rPr>
        <w:t xml:space="preserve">Tx-Rx carrier centre frequency separation is </w:t>
      </w:r>
      <w:r>
        <w:t>-5</w:t>
      </w:r>
      <w:r>
        <w:rPr>
          <w:rFonts w:hint="eastAsia"/>
        </w:rPr>
        <w:t>0 MHz</w:t>
      </w:r>
      <w:r>
        <w:t xml:space="preserve">, it can make problem on FDD operation due to interference from transmission to receiver without </w:t>
      </w:r>
      <w:r w:rsidR="00335753">
        <w:t>frequency</w:t>
      </w:r>
      <w:r>
        <w:t xml:space="preserve"> </w:t>
      </w:r>
      <w:r w:rsidR="00335753">
        <w:t>gap</w:t>
      </w:r>
      <w:r>
        <w:t xml:space="preserve">. </w:t>
      </w:r>
    </w:p>
    <w:p w14:paraId="73578D91" w14:textId="77777777" w:rsidR="00B9221B" w:rsidRDefault="00B9221B" w:rsidP="00B9221B"/>
    <w:p w14:paraId="00DED7DC" w14:textId="6496D51C" w:rsidR="00B9221B" w:rsidRDefault="00B9221B" w:rsidP="00B9221B">
      <w:r>
        <w:rPr>
          <w:rFonts w:hint="eastAsia"/>
        </w:rPr>
        <w:t xml:space="preserve">Figure </w:t>
      </w:r>
      <w:r w:rsidR="00335753">
        <w:t>2-2</w:t>
      </w:r>
      <w:r>
        <w:rPr>
          <w:rFonts w:hint="eastAsia"/>
        </w:rPr>
        <w:t xml:space="preserve"> shows </w:t>
      </w:r>
      <w:r w:rsidR="00335753">
        <w:t xml:space="preserve">the </w:t>
      </w:r>
      <w:r>
        <w:t xml:space="preserve">absolute value of </w:t>
      </w:r>
      <w:r>
        <w:rPr>
          <w:rFonts w:hint="eastAsia"/>
        </w:rPr>
        <w:t>the Tx-Rx carrier centre frequency separation</w:t>
      </w:r>
      <w:r w:rsidR="00335753">
        <w:t xml:space="preserve"> for #2a/#2b</w:t>
      </w:r>
      <w:r>
        <w:rPr>
          <w:rFonts w:hint="eastAsia"/>
        </w:rPr>
        <w:t xml:space="preserve">. </w:t>
      </w:r>
    </w:p>
    <w:p w14:paraId="000BC0DB" w14:textId="097A830B" w:rsidR="00B9221B" w:rsidRDefault="00B9221B" w:rsidP="00B9221B">
      <w:pPr>
        <w:pStyle w:val="af1"/>
        <w:widowControl/>
        <w:numPr>
          <w:ilvl w:val="0"/>
          <w:numId w:val="35"/>
        </w:numPr>
        <w:wordWrap/>
        <w:autoSpaceDE/>
        <w:autoSpaceDN/>
        <w:spacing w:after="160" w:line="259" w:lineRule="auto"/>
        <w:ind w:leftChars="0"/>
        <w:contextualSpacing/>
        <w:rPr>
          <w:rFonts w:ascii="Times New Roman" w:eastAsiaTheme="minorEastAsia" w:hAnsi="Times New Roman"/>
        </w:rPr>
      </w:pPr>
      <w:r>
        <w:rPr>
          <w:rFonts w:ascii="Times New Roman" w:eastAsiaTheme="minorEastAsia" w:hAnsi="Times New Roman"/>
        </w:rPr>
        <w:t>50 MHz for DL CBW of 50MHz and UL CBW of 50MHz in (a)</w:t>
      </w:r>
    </w:p>
    <w:p w14:paraId="5DF2524C" w14:textId="3C01F7BE" w:rsidR="00B9221B" w:rsidRPr="008C63E1" w:rsidRDefault="00B9221B" w:rsidP="00B9221B">
      <w:pPr>
        <w:pStyle w:val="af1"/>
        <w:widowControl/>
        <w:numPr>
          <w:ilvl w:val="0"/>
          <w:numId w:val="35"/>
        </w:numPr>
        <w:wordWrap/>
        <w:autoSpaceDE/>
        <w:autoSpaceDN/>
        <w:spacing w:after="160" w:line="259" w:lineRule="auto"/>
        <w:ind w:leftChars="0"/>
        <w:contextualSpacing/>
        <w:rPr>
          <w:rFonts w:ascii="Times New Roman" w:eastAsiaTheme="minorEastAsia" w:hAnsi="Times New Roman"/>
        </w:rPr>
      </w:pPr>
      <w:r>
        <w:rPr>
          <w:rFonts w:ascii="Times New Roman" w:eastAsiaTheme="minorEastAsia" w:hAnsi="Times New Roman"/>
        </w:rPr>
        <w:t>75 MHz for DL CBW of 100MHz and UL CBW of 50MHz in (b)</w:t>
      </w:r>
    </w:p>
    <w:p w14:paraId="344C108D" w14:textId="3289F716" w:rsidR="00B9221B" w:rsidRDefault="00B9221B" w:rsidP="00B9221B">
      <w:pPr>
        <w:pStyle w:val="af1"/>
        <w:widowControl/>
        <w:numPr>
          <w:ilvl w:val="0"/>
          <w:numId w:val="35"/>
        </w:numPr>
        <w:wordWrap/>
        <w:autoSpaceDE/>
        <w:autoSpaceDN/>
        <w:spacing w:after="160" w:line="259" w:lineRule="auto"/>
        <w:ind w:leftChars="0"/>
        <w:contextualSpacing/>
        <w:rPr>
          <w:rFonts w:ascii="Times New Roman" w:eastAsiaTheme="minorEastAsia" w:hAnsi="Times New Roman"/>
        </w:rPr>
      </w:pPr>
      <w:r>
        <w:rPr>
          <w:rFonts w:ascii="Times New Roman" w:eastAsiaTheme="minorEastAsia" w:hAnsi="Times New Roman"/>
        </w:rPr>
        <w:t>(X+Y)/2 MHz for DL CBW of X MHz and UL CBW of Y MHz in (c)</w:t>
      </w:r>
    </w:p>
    <w:p w14:paraId="6523C3DE" w14:textId="77777777" w:rsidR="00B9221B" w:rsidRPr="008C63E1" w:rsidRDefault="00B9221B" w:rsidP="00B9221B">
      <w:pPr>
        <w:pStyle w:val="af1"/>
        <w:spacing w:after="160" w:line="259" w:lineRule="auto"/>
        <w:ind w:leftChars="0" w:left="720"/>
        <w:contextualSpacing/>
        <w:rPr>
          <w:rFonts w:ascii="Times New Roman" w:eastAsiaTheme="minorEastAsia" w:hAnsi="Times New Roman"/>
        </w:rPr>
      </w:pPr>
    </w:p>
    <w:p w14:paraId="281E02E7" w14:textId="25BAD9A2" w:rsidR="00B9221B" w:rsidRPr="00C0046D" w:rsidRDefault="00335753" w:rsidP="00B9221B">
      <w:pPr>
        <w:jc w:val="center"/>
      </w:pPr>
      <w:r>
        <w:object w:dxaOrig="9376" w:dyaOrig="8041" w14:anchorId="3AD9BA07">
          <v:shape id="_x0000_i1026" type="#_x0000_t75" style="width:303.4pt;height:259.7pt" o:ole="">
            <v:imagedata r:id="rId10" o:title=""/>
          </v:shape>
          <o:OLEObject Type="Embed" ProgID="Visio.Drawing.15" ShapeID="_x0000_i1026" DrawAspect="Content" ObjectID="_1784727283" r:id="rId11"/>
        </w:object>
      </w:r>
    </w:p>
    <w:p w14:paraId="226216EF" w14:textId="576C1B4D" w:rsidR="00B9221B" w:rsidRDefault="00B9221B" w:rsidP="00B9221B">
      <w:pPr>
        <w:jc w:val="center"/>
      </w:pPr>
      <w:r w:rsidRPr="00C420CC">
        <w:rPr>
          <w:b/>
          <w:bCs/>
        </w:rPr>
        <w:t xml:space="preserve">Figure </w:t>
      </w:r>
      <w:r w:rsidR="00335753">
        <w:rPr>
          <w:b/>
          <w:bCs/>
        </w:rPr>
        <w:t>2-2</w:t>
      </w:r>
      <w:r w:rsidRPr="00C420CC">
        <w:rPr>
          <w:b/>
          <w:bCs/>
        </w:rPr>
        <w:t xml:space="preserve">. </w:t>
      </w:r>
      <w:r>
        <w:rPr>
          <w:b/>
          <w:bCs/>
        </w:rPr>
        <w:t xml:space="preserve">Tx-Rx carrier frequency separation for </w:t>
      </w:r>
      <w:r w:rsidR="00335753">
        <w:rPr>
          <w:b/>
          <w:bCs/>
        </w:rPr>
        <w:t>Ku band #2a, and #2b</w:t>
      </w:r>
    </w:p>
    <w:p w14:paraId="28169F73" w14:textId="77777777" w:rsidR="00B9221B" w:rsidRPr="00FF7679" w:rsidRDefault="00B9221B" w:rsidP="00B9221B"/>
    <w:p w14:paraId="06EFC357" w14:textId="4A3A5475" w:rsidR="00B9221B" w:rsidRDefault="00B9221B" w:rsidP="00B9221B">
      <w:r>
        <w:t>In general, w</w:t>
      </w:r>
      <w:r>
        <w:rPr>
          <w:rFonts w:hint="eastAsia"/>
        </w:rPr>
        <w:t xml:space="preserve">hen </w:t>
      </w:r>
      <w:r>
        <w:t xml:space="preserve">DL CBW is X MHz, UL CBW is Y MHz, and </w:t>
      </w:r>
      <w:r>
        <w:rPr>
          <w:rFonts w:hint="eastAsia"/>
        </w:rPr>
        <w:t>Tx-Rx carrier centre frequency separation is (X+Y)/2 MHz</w:t>
      </w:r>
      <w:r>
        <w:t xml:space="preserve">, Full Duplex FDD operation cannot be </w:t>
      </w:r>
      <w:r w:rsidR="00335753">
        <w:t>applicable</w:t>
      </w:r>
      <w:r>
        <w:t xml:space="preserve"> due to interference from transmission to receiver. In this case, Half Duplex FDD operation can be </w:t>
      </w:r>
      <w:r w:rsidR="00335753">
        <w:t>applicable</w:t>
      </w:r>
      <w:r>
        <w:t xml:space="preserve"> only.</w:t>
      </w:r>
    </w:p>
    <w:p w14:paraId="37259BCD" w14:textId="77777777" w:rsidR="00B9221B" w:rsidRDefault="00B9221B" w:rsidP="00B9221B"/>
    <w:p w14:paraId="38D6CDFB" w14:textId="406F302F" w:rsidR="00B9221B" w:rsidRPr="00041169" w:rsidRDefault="00B9221B" w:rsidP="000411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t xml:space="preserve">Proposal </w:t>
      </w:r>
      <w:r w:rsidR="00335753" w:rsidRPr="00041169">
        <w:rPr>
          <w:rFonts w:eastAsia="SimSun"/>
          <w:bCs w:val="0"/>
          <w:sz w:val="20"/>
          <w:szCs w:val="20"/>
          <w:lang w:val="sv-SE" w:eastAsia="zh-CN"/>
        </w:rPr>
        <w:t>2</w:t>
      </w:r>
      <w:r w:rsidRPr="00041169">
        <w:rPr>
          <w:rFonts w:eastAsia="SimSun" w:hint="eastAsia"/>
          <w:bCs w:val="0"/>
          <w:sz w:val="20"/>
          <w:szCs w:val="20"/>
          <w:lang w:val="sv-SE" w:eastAsia="zh-CN"/>
        </w:rPr>
        <w:t xml:space="preserve"> : Consider Half Duplex FDD operation </w:t>
      </w:r>
      <w:r w:rsidR="00335753" w:rsidRPr="00041169">
        <w:rPr>
          <w:rFonts w:eastAsia="SimSun"/>
          <w:bCs w:val="0"/>
          <w:sz w:val="20"/>
          <w:szCs w:val="20"/>
          <w:lang w:val="sv-SE" w:eastAsia="zh-CN"/>
        </w:rPr>
        <w:t>in condition that</w:t>
      </w:r>
      <w:r w:rsidRPr="00041169">
        <w:rPr>
          <w:rFonts w:eastAsia="SimSun" w:hint="eastAsia"/>
          <w:bCs w:val="0"/>
          <w:sz w:val="20"/>
          <w:szCs w:val="20"/>
          <w:lang w:val="sv-SE" w:eastAsia="zh-CN"/>
        </w:rPr>
        <w:t xml:space="preserve"> Tx-Rx carrier centre frequency separation is (X+Y)/2 MHz</w:t>
      </w:r>
      <w:r w:rsidR="00335753" w:rsidRPr="00041169">
        <w:rPr>
          <w:rFonts w:eastAsia="SimSun"/>
          <w:bCs w:val="0"/>
          <w:sz w:val="20"/>
          <w:szCs w:val="20"/>
          <w:lang w:val="sv-SE" w:eastAsia="zh-CN"/>
        </w:rPr>
        <w:t>. Here, X = DL CBW, Y = UL CBW</w:t>
      </w:r>
      <w:r w:rsidRPr="00041169">
        <w:rPr>
          <w:rFonts w:eastAsia="SimSun"/>
          <w:bCs w:val="0"/>
          <w:sz w:val="20"/>
          <w:szCs w:val="20"/>
          <w:lang w:val="sv-SE" w:eastAsia="zh-CN"/>
        </w:rPr>
        <w:t>.</w:t>
      </w:r>
    </w:p>
    <w:p w14:paraId="23A8ED1A" w14:textId="77777777" w:rsidR="00B9221B" w:rsidRDefault="00B9221B" w:rsidP="00B9221B"/>
    <w:p w14:paraId="54E94825" w14:textId="77777777" w:rsidR="00041169" w:rsidRDefault="00335753" w:rsidP="00B9221B">
      <w:r>
        <w:t xml:space="preserve">For FDD operation, </w:t>
      </w:r>
      <w:r w:rsidRPr="00335753">
        <w:t>minimum Tx-Rx carrier centre frequency separation</w:t>
      </w:r>
      <w:r w:rsidR="00041169">
        <w:t xml:space="preserve"> or minimum guard band</w:t>
      </w:r>
      <w:r>
        <w:t xml:space="preserve"> can be considered. </w:t>
      </w:r>
    </w:p>
    <w:p w14:paraId="14819D18" w14:textId="77777777" w:rsidR="00041169" w:rsidRDefault="00041169" w:rsidP="00041169">
      <w:r>
        <w:t>Figure 2-3 shows Tx-Rx carrier centre frequency separation and guard band.</w:t>
      </w:r>
    </w:p>
    <w:p w14:paraId="499BE956" w14:textId="77777777" w:rsidR="00041169" w:rsidRDefault="00041169" w:rsidP="00B9221B"/>
    <w:p w14:paraId="17C494C6" w14:textId="75CD8DD5" w:rsidR="00CC1337" w:rsidRDefault="009D5469" w:rsidP="00CC1337">
      <w:pPr>
        <w:jc w:val="center"/>
      </w:pPr>
      <w:r>
        <w:object w:dxaOrig="10066" w:dyaOrig="2956" w14:anchorId="67266EBC">
          <v:shape id="_x0000_i1027" type="#_x0000_t75" style="width:382.9pt;height:112.35pt" o:ole="">
            <v:imagedata r:id="rId12" o:title=""/>
          </v:shape>
          <o:OLEObject Type="Embed" ProgID="Visio.Drawing.15" ShapeID="_x0000_i1027" DrawAspect="Content" ObjectID="_1784727284" r:id="rId13"/>
        </w:object>
      </w:r>
    </w:p>
    <w:p w14:paraId="2298EAC6" w14:textId="5F7384FF" w:rsidR="00CC1337" w:rsidRDefault="00CC1337" w:rsidP="00B9221B"/>
    <w:p w14:paraId="47944998" w14:textId="08B378C3" w:rsidR="00CC1337" w:rsidRDefault="00CC1337" w:rsidP="00CC1337">
      <w:pPr>
        <w:jc w:val="center"/>
      </w:pPr>
      <w:r w:rsidRPr="00C420CC">
        <w:rPr>
          <w:b/>
          <w:bCs/>
        </w:rPr>
        <w:t xml:space="preserve">Figure </w:t>
      </w:r>
      <w:r>
        <w:rPr>
          <w:b/>
          <w:bCs/>
        </w:rPr>
        <w:t>2-3</w:t>
      </w:r>
      <w:r w:rsidRPr="00C420CC">
        <w:rPr>
          <w:b/>
          <w:bCs/>
        </w:rPr>
        <w:t xml:space="preserve">. </w:t>
      </w:r>
      <w:r>
        <w:rPr>
          <w:b/>
          <w:bCs/>
        </w:rPr>
        <w:t>Tx-Rx carrier frequency separation &amp; guard band for Ku band #2a, and #2b</w:t>
      </w:r>
    </w:p>
    <w:p w14:paraId="6DC20705" w14:textId="77777777" w:rsidR="00CC1337" w:rsidRPr="00CC1337" w:rsidRDefault="00CC1337" w:rsidP="00B9221B"/>
    <w:p w14:paraId="27CC749D" w14:textId="13334E03" w:rsidR="00041169" w:rsidRDefault="00041169" w:rsidP="00041169">
      <w:r>
        <w:t>If Tx-Rx carrier centre frequency separation is larger than or equal to the minimum separation, FDD operation is applicable. Else, half duplex FDD operation is applicable. Or,</w:t>
      </w:r>
    </w:p>
    <w:p w14:paraId="0A710113" w14:textId="77777777" w:rsidR="00041169" w:rsidRDefault="00041169" w:rsidP="00041169"/>
    <w:p w14:paraId="75A8B6B3" w14:textId="15BFA5D6" w:rsidR="00041169" w:rsidRDefault="00041169" w:rsidP="00041169">
      <w:r>
        <w:t xml:space="preserve">If </w:t>
      </w:r>
      <w:r w:rsidR="009D5469">
        <w:t>frequency gap between DL channel and UL channel</w:t>
      </w:r>
      <w:r>
        <w:t xml:space="preserve"> is larger than or equal to the minimum </w:t>
      </w:r>
      <w:r w:rsidR="009D5469">
        <w:t>guard band, F</w:t>
      </w:r>
      <w:r>
        <w:t>DD operation is applicable. Else, half duplex FDD operation is applicable.</w:t>
      </w:r>
    </w:p>
    <w:p w14:paraId="1AE53F7F" w14:textId="77777777" w:rsidR="00041169" w:rsidRDefault="00041169" w:rsidP="00041169">
      <w:pPr>
        <w:rPr>
          <w:lang w:eastAsia="ko-KR"/>
        </w:rPr>
      </w:pPr>
    </w:p>
    <w:p w14:paraId="06230192" w14:textId="1EAC4F72" w:rsidR="00CC1337" w:rsidRPr="00041169" w:rsidRDefault="00CC1337" w:rsidP="00B9221B">
      <w:pPr>
        <w:rPr>
          <w:lang w:eastAsia="ko-KR"/>
        </w:rPr>
      </w:pPr>
    </w:p>
    <w:p w14:paraId="21473DB9" w14:textId="77777777" w:rsidR="00041169" w:rsidRPr="00041169" w:rsidRDefault="00041169" w:rsidP="000411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lastRenderedPageBreak/>
        <w:t xml:space="preserve">Proposal </w:t>
      </w:r>
      <w:r w:rsidRPr="00041169">
        <w:rPr>
          <w:rFonts w:eastAsia="SimSun"/>
          <w:bCs w:val="0"/>
          <w:sz w:val="20"/>
          <w:szCs w:val="20"/>
          <w:lang w:val="sv-SE" w:eastAsia="zh-CN"/>
        </w:rPr>
        <w:t>3</w:t>
      </w:r>
      <w:r w:rsidRPr="00041169">
        <w:rPr>
          <w:rFonts w:eastAsia="SimSun" w:hint="eastAsia"/>
          <w:bCs w:val="0"/>
          <w:sz w:val="20"/>
          <w:szCs w:val="20"/>
          <w:lang w:val="sv-SE" w:eastAsia="zh-CN"/>
        </w:rPr>
        <w:t xml:space="preserve"> : </w:t>
      </w:r>
      <w:r w:rsidRPr="00041169">
        <w:rPr>
          <w:rFonts w:eastAsia="SimSun"/>
          <w:bCs w:val="0"/>
          <w:sz w:val="20"/>
          <w:szCs w:val="20"/>
          <w:lang w:val="sv-SE" w:eastAsia="zh-CN"/>
        </w:rPr>
        <w:t xml:space="preserve">Consider minimum Tx-Rx carrier centre frequency separation </w:t>
      </w:r>
      <w:r>
        <w:rPr>
          <w:rFonts w:eastAsia="SimSun"/>
          <w:bCs w:val="0"/>
          <w:sz w:val="20"/>
          <w:szCs w:val="20"/>
          <w:lang w:val="sv-SE" w:eastAsia="zh-CN"/>
        </w:rPr>
        <w:t xml:space="preserve">or minimum guard band </w:t>
      </w:r>
      <w:r w:rsidRPr="00041169">
        <w:rPr>
          <w:rFonts w:eastAsia="SimSun"/>
          <w:bCs w:val="0"/>
          <w:sz w:val="20"/>
          <w:szCs w:val="20"/>
          <w:lang w:val="sv-SE" w:eastAsia="zh-CN"/>
        </w:rPr>
        <w:t>for FDD operation with #2a, and #2b.</w:t>
      </w:r>
    </w:p>
    <w:p w14:paraId="4517942F" w14:textId="77777777" w:rsidR="00041169" w:rsidRPr="00041169" w:rsidRDefault="00041169" w:rsidP="000411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t xml:space="preserve">Proposal </w:t>
      </w:r>
      <w:r w:rsidRPr="00041169">
        <w:rPr>
          <w:rFonts w:eastAsia="SimSun"/>
          <w:bCs w:val="0"/>
          <w:sz w:val="20"/>
          <w:szCs w:val="20"/>
          <w:lang w:val="sv-SE" w:eastAsia="zh-CN"/>
        </w:rPr>
        <w:t>4</w:t>
      </w:r>
      <w:r w:rsidRPr="00041169">
        <w:rPr>
          <w:rFonts w:eastAsia="SimSun" w:hint="eastAsia"/>
          <w:bCs w:val="0"/>
          <w:sz w:val="20"/>
          <w:szCs w:val="20"/>
          <w:lang w:val="sv-SE" w:eastAsia="zh-CN"/>
        </w:rPr>
        <w:t xml:space="preserve"> : </w:t>
      </w:r>
      <w:r w:rsidRPr="00041169">
        <w:rPr>
          <w:rFonts w:eastAsia="SimSun"/>
          <w:bCs w:val="0"/>
          <w:sz w:val="20"/>
          <w:szCs w:val="20"/>
          <w:lang w:val="sv-SE" w:eastAsia="zh-CN"/>
        </w:rPr>
        <w:t xml:space="preserve">Consider UE capability on minimum Tx-Rx carrier centre frequency separation </w:t>
      </w:r>
      <w:r>
        <w:rPr>
          <w:rFonts w:eastAsia="SimSun"/>
          <w:bCs w:val="0"/>
          <w:sz w:val="20"/>
          <w:szCs w:val="20"/>
          <w:lang w:val="sv-SE" w:eastAsia="zh-CN"/>
        </w:rPr>
        <w:t xml:space="preserve">or minimum guard band </w:t>
      </w:r>
      <w:r w:rsidRPr="00041169">
        <w:rPr>
          <w:rFonts w:eastAsia="SimSun"/>
          <w:bCs w:val="0"/>
          <w:sz w:val="20"/>
          <w:szCs w:val="20"/>
          <w:lang w:val="sv-SE" w:eastAsia="zh-CN"/>
        </w:rPr>
        <w:t>for FDD operation with #2a, and #2b.</w:t>
      </w:r>
    </w:p>
    <w:p w14:paraId="7D69A5EE" w14:textId="77777777" w:rsidR="00F0727C" w:rsidRPr="00F0727C" w:rsidRDefault="00F0727C" w:rsidP="00371B82">
      <w:pPr>
        <w:pStyle w:val="a0"/>
        <w:rPr>
          <w:lang w:val="sv-SE"/>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143E8F21"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w:t>
      </w:r>
      <w:r w:rsidR="009D5469">
        <w:rPr>
          <w:rFonts w:eastAsia="바탕"/>
          <w:kern w:val="2"/>
          <w:lang w:val="en-US" w:eastAsia="ko-KR"/>
        </w:rPr>
        <w:t>Ku band NR NTN</w:t>
      </w:r>
      <w:r w:rsidR="00B0252C">
        <w:rPr>
          <w:rFonts w:eastAsia="바탕"/>
          <w:kern w:val="2"/>
          <w:lang w:val="en-US" w:eastAsia="ko-KR"/>
        </w:rPr>
        <w:t>.</w:t>
      </w:r>
      <w:r w:rsidR="00EB2ADD">
        <w:rPr>
          <w:rFonts w:eastAsia="바탕"/>
          <w:kern w:val="2"/>
          <w:lang w:val="en-US" w:eastAsia="ko-KR"/>
        </w:rPr>
        <w:t xml:space="preserve"> The proposals are as follows.</w:t>
      </w:r>
    </w:p>
    <w:p w14:paraId="595E428E" w14:textId="77777777" w:rsidR="009D5469" w:rsidRPr="00E94B76" w:rsidRDefault="009D5469" w:rsidP="009D5469">
      <w:pPr>
        <w:pStyle w:val="4"/>
        <w:keepLines/>
        <w:spacing w:before="120" w:after="180"/>
        <w:rPr>
          <w:rFonts w:eastAsia="SimSun"/>
          <w:bCs w:val="0"/>
          <w:sz w:val="20"/>
          <w:szCs w:val="20"/>
          <w:lang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Consider  </w:t>
      </w:r>
      <w:r w:rsidRPr="00B0205D">
        <w:rPr>
          <w:sz w:val="20"/>
          <w:szCs w:val="20"/>
        </w:rPr>
        <w:t>Ku band #1a and #1b as FR2-NTN</w:t>
      </w:r>
      <w:r>
        <w:rPr>
          <w:sz w:val="20"/>
          <w:szCs w:val="20"/>
        </w:rPr>
        <w:t>.</w:t>
      </w:r>
    </w:p>
    <w:p w14:paraId="08754724" w14:textId="77777777" w:rsidR="009D5469" w:rsidRPr="00041169" w:rsidRDefault="009D5469" w:rsidP="009D54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t xml:space="preserve">Proposal </w:t>
      </w:r>
      <w:r w:rsidRPr="00041169">
        <w:rPr>
          <w:rFonts w:eastAsia="SimSun"/>
          <w:bCs w:val="0"/>
          <w:sz w:val="20"/>
          <w:szCs w:val="20"/>
          <w:lang w:val="sv-SE" w:eastAsia="zh-CN"/>
        </w:rPr>
        <w:t>2</w:t>
      </w:r>
      <w:r w:rsidRPr="00041169">
        <w:rPr>
          <w:rFonts w:eastAsia="SimSun" w:hint="eastAsia"/>
          <w:bCs w:val="0"/>
          <w:sz w:val="20"/>
          <w:szCs w:val="20"/>
          <w:lang w:val="sv-SE" w:eastAsia="zh-CN"/>
        </w:rPr>
        <w:t xml:space="preserve"> : Consider Half Duplex FDD operation </w:t>
      </w:r>
      <w:r w:rsidRPr="00041169">
        <w:rPr>
          <w:rFonts w:eastAsia="SimSun"/>
          <w:bCs w:val="0"/>
          <w:sz w:val="20"/>
          <w:szCs w:val="20"/>
          <w:lang w:val="sv-SE" w:eastAsia="zh-CN"/>
        </w:rPr>
        <w:t>in condition that</w:t>
      </w:r>
      <w:r w:rsidRPr="00041169">
        <w:rPr>
          <w:rFonts w:eastAsia="SimSun" w:hint="eastAsia"/>
          <w:bCs w:val="0"/>
          <w:sz w:val="20"/>
          <w:szCs w:val="20"/>
          <w:lang w:val="sv-SE" w:eastAsia="zh-CN"/>
        </w:rPr>
        <w:t xml:space="preserve"> Tx-Rx carrier centre frequency separation is (X+Y)/2 MHz</w:t>
      </w:r>
      <w:r w:rsidRPr="00041169">
        <w:rPr>
          <w:rFonts w:eastAsia="SimSun"/>
          <w:bCs w:val="0"/>
          <w:sz w:val="20"/>
          <w:szCs w:val="20"/>
          <w:lang w:val="sv-SE" w:eastAsia="zh-CN"/>
        </w:rPr>
        <w:t>. Here, X = DL CBW, Y = UL CBW.</w:t>
      </w:r>
    </w:p>
    <w:p w14:paraId="7701FBDB" w14:textId="77777777" w:rsidR="009D5469" w:rsidRPr="00041169" w:rsidRDefault="009D5469" w:rsidP="009D54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t xml:space="preserve">Proposal </w:t>
      </w:r>
      <w:r w:rsidRPr="00041169">
        <w:rPr>
          <w:rFonts w:eastAsia="SimSun"/>
          <w:bCs w:val="0"/>
          <w:sz w:val="20"/>
          <w:szCs w:val="20"/>
          <w:lang w:val="sv-SE" w:eastAsia="zh-CN"/>
        </w:rPr>
        <w:t>3</w:t>
      </w:r>
      <w:r w:rsidRPr="00041169">
        <w:rPr>
          <w:rFonts w:eastAsia="SimSun" w:hint="eastAsia"/>
          <w:bCs w:val="0"/>
          <w:sz w:val="20"/>
          <w:szCs w:val="20"/>
          <w:lang w:val="sv-SE" w:eastAsia="zh-CN"/>
        </w:rPr>
        <w:t xml:space="preserve"> : </w:t>
      </w:r>
      <w:r w:rsidRPr="00041169">
        <w:rPr>
          <w:rFonts w:eastAsia="SimSun"/>
          <w:bCs w:val="0"/>
          <w:sz w:val="20"/>
          <w:szCs w:val="20"/>
          <w:lang w:val="sv-SE" w:eastAsia="zh-CN"/>
        </w:rPr>
        <w:t xml:space="preserve">Consider minimum Tx-Rx carrier centre frequency separation </w:t>
      </w:r>
      <w:r>
        <w:rPr>
          <w:rFonts w:eastAsia="SimSun"/>
          <w:bCs w:val="0"/>
          <w:sz w:val="20"/>
          <w:szCs w:val="20"/>
          <w:lang w:val="sv-SE" w:eastAsia="zh-CN"/>
        </w:rPr>
        <w:t xml:space="preserve">or minimum guard band </w:t>
      </w:r>
      <w:r w:rsidRPr="00041169">
        <w:rPr>
          <w:rFonts w:eastAsia="SimSun"/>
          <w:bCs w:val="0"/>
          <w:sz w:val="20"/>
          <w:szCs w:val="20"/>
          <w:lang w:val="sv-SE" w:eastAsia="zh-CN"/>
        </w:rPr>
        <w:t>for FDD operation with #2a, and #2b.</w:t>
      </w:r>
    </w:p>
    <w:p w14:paraId="2227F8F8" w14:textId="77777777" w:rsidR="009D5469" w:rsidRPr="00041169" w:rsidRDefault="009D5469" w:rsidP="009D5469">
      <w:pPr>
        <w:pStyle w:val="4"/>
        <w:keepLines/>
        <w:spacing w:before="120" w:after="180"/>
        <w:rPr>
          <w:rFonts w:eastAsia="SimSun"/>
          <w:bCs w:val="0"/>
          <w:sz w:val="20"/>
          <w:szCs w:val="20"/>
          <w:lang w:val="sv-SE" w:eastAsia="zh-CN"/>
        </w:rPr>
      </w:pPr>
      <w:r w:rsidRPr="00041169">
        <w:rPr>
          <w:rFonts w:eastAsia="SimSun" w:hint="eastAsia"/>
          <w:bCs w:val="0"/>
          <w:sz w:val="20"/>
          <w:szCs w:val="20"/>
          <w:lang w:val="sv-SE" w:eastAsia="zh-CN"/>
        </w:rPr>
        <w:t xml:space="preserve">Proposal </w:t>
      </w:r>
      <w:r w:rsidRPr="00041169">
        <w:rPr>
          <w:rFonts w:eastAsia="SimSun"/>
          <w:bCs w:val="0"/>
          <w:sz w:val="20"/>
          <w:szCs w:val="20"/>
          <w:lang w:val="sv-SE" w:eastAsia="zh-CN"/>
        </w:rPr>
        <w:t>4</w:t>
      </w:r>
      <w:r w:rsidRPr="00041169">
        <w:rPr>
          <w:rFonts w:eastAsia="SimSun" w:hint="eastAsia"/>
          <w:bCs w:val="0"/>
          <w:sz w:val="20"/>
          <w:szCs w:val="20"/>
          <w:lang w:val="sv-SE" w:eastAsia="zh-CN"/>
        </w:rPr>
        <w:t xml:space="preserve"> : </w:t>
      </w:r>
      <w:r w:rsidRPr="00041169">
        <w:rPr>
          <w:rFonts w:eastAsia="SimSun"/>
          <w:bCs w:val="0"/>
          <w:sz w:val="20"/>
          <w:szCs w:val="20"/>
          <w:lang w:val="sv-SE" w:eastAsia="zh-CN"/>
        </w:rPr>
        <w:t xml:space="preserve">Consider UE capability on minimum Tx-Rx carrier centre frequency separation </w:t>
      </w:r>
      <w:r>
        <w:rPr>
          <w:rFonts w:eastAsia="SimSun"/>
          <w:bCs w:val="0"/>
          <w:sz w:val="20"/>
          <w:szCs w:val="20"/>
          <w:lang w:val="sv-SE" w:eastAsia="zh-CN"/>
        </w:rPr>
        <w:t xml:space="preserve">or minimum guard band </w:t>
      </w:r>
      <w:r w:rsidRPr="00041169">
        <w:rPr>
          <w:rFonts w:eastAsia="SimSun"/>
          <w:bCs w:val="0"/>
          <w:sz w:val="20"/>
          <w:szCs w:val="20"/>
          <w:lang w:val="sv-SE" w:eastAsia="zh-CN"/>
        </w:rPr>
        <w:t>for FDD operation with #2a, and #2b.</w:t>
      </w:r>
    </w:p>
    <w:p w14:paraId="4952BB63" w14:textId="77777777" w:rsidR="00632844" w:rsidRPr="009D5469" w:rsidRDefault="00632844" w:rsidP="00632844">
      <w:pPr>
        <w:pStyle w:val="a0"/>
        <w:rPr>
          <w:rFonts w:eastAsia="SimSun"/>
          <w:lang w:val="sv-SE" w:eastAsia="zh-CN"/>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367CE547" w14:textId="22D38375" w:rsidR="004112C8" w:rsidRDefault="004112C8" w:rsidP="006776FE">
      <w:pPr>
        <w:jc w:val="both"/>
        <w:rPr>
          <w:lang w:eastAsia="zh-CN"/>
        </w:rPr>
      </w:pPr>
      <w:r>
        <w:rPr>
          <w:lang w:eastAsia="ko-KR"/>
        </w:rPr>
        <w:t>[</w:t>
      </w:r>
      <w:r w:rsidR="00B0205D">
        <w:rPr>
          <w:lang w:eastAsia="ko-KR"/>
        </w:rPr>
        <w:t>1</w:t>
      </w:r>
      <w:r w:rsidRPr="00210542">
        <w:rPr>
          <w:lang w:eastAsia="zh-CN"/>
        </w:rPr>
        <w:t xml:space="preserve">] </w:t>
      </w:r>
      <w:r w:rsidRPr="00D24778">
        <w:rPr>
          <w:lang w:eastAsia="zh-CN"/>
        </w:rPr>
        <w:t>RP-24</w:t>
      </w:r>
      <w:r w:rsidR="00B0205D">
        <w:rPr>
          <w:lang w:eastAsia="zh-CN"/>
        </w:rPr>
        <w:t>1690</w:t>
      </w:r>
      <w:r w:rsidRPr="00210542">
        <w:rPr>
          <w:lang w:eastAsia="zh-CN"/>
        </w:rPr>
        <w:t>, “</w:t>
      </w:r>
      <w:r w:rsidR="00B0205D" w:rsidRPr="00B0205D">
        <w:rPr>
          <w:lang w:eastAsia="zh-CN"/>
        </w:rPr>
        <w:t>New WID on Introduction of Ku Band for NR NTN</w:t>
      </w:r>
      <w:r w:rsidRPr="00210542">
        <w:rPr>
          <w:lang w:eastAsia="zh-CN"/>
        </w:rPr>
        <w:t xml:space="preserve">”, </w:t>
      </w:r>
      <w:r w:rsidR="00B0205D" w:rsidRPr="00B0205D">
        <w:rPr>
          <w:lang w:eastAsia="zh-CN"/>
        </w:rPr>
        <w:t>Intelsat, Eutelsat Group, Thales, CHTTL, Hispasat</w:t>
      </w:r>
    </w:p>
    <w:p w14:paraId="7708FE91" w14:textId="77777777" w:rsidR="007C68C8" w:rsidRPr="004112C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E236C" w14:textId="77777777" w:rsidR="00930FE5" w:rsidRDefault="00930FE5">
      <w:r>
        <w:separator/>
      </w:r>
    </w:p>
  </w:endnote>
  <w:endnote w:type="continuationSeparator" w:id="0">
    <w:p w14:paraId="39322E83" w14:textId="77777777" w:rsidR="00930FE5" w:rsidRDefault="0093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0000000000000000000"/>
    <w:charset w:val="00"/>
    <w:family w:val="roman"/>
    <w:notTrueType/>
    <w:pitch w:val="default"/>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2F949" w14:textId="77777777" w:rsidR="00930FE5" w:rsidRDefault="00930FE5">
      <w:r>
        <w:separator/>
      </w:r>
    </w:p>
  </w:footnote>
  <w:footnote w:type="continuationSeparator" w:id="0">
    <w:p w14:paraId="5FC2C7FB" w14:textId="77777777" w:rsidR="00930FE5" w:rsidRDefault="00930F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3F071E42"/>
    <w:multiLevelType w:val="hybridMultilevel"/>
    <w:tmpl w:val="F606FDB6"/>
    <w:lvl w:ilvl="0" w:tplc="04090001">
      <w:start w:val="1"/>
      <w:numFmt w:val="bullet"/>
      <w:lvlText w:val=""/>
      <w:lvlJc w:val="left"/>
      <w:pPr>
        <w:ind w:left="-1168" w:hanging="360"/>
      </w:pPr>
      <w:rPr>
        <w:rFonts w:ascii="Symbol" w:hAnsi="Symbol" w:hint="default"/>
      </w:rPr>
    </w:lvl>
    <w:lvl w:ilvl="1" w:tplc="04090003">
      <w:start w:val="1"/>
      <w:numFmt w:val="bullet"/>
      <w:lvlText w:val="o"/>
      <w:lvlJc w:val="left"/>
      <w:pPr>
        <w:ind w:left="-448" w:hanging="360"/>
      </w:pPr>
      <w:rPr>
        <w:rFonts w:ascii="Courier New" w:hAnsi="Courier New" w:cs="Courier New" w:hint="default"/>
      </w:rPr>
    </w:lvl>
    <w:lvl w:ilvl="2" w:tplc="04090005">
      <w:start w:val="1"/>
      <w:numFmt w:val="bullet"/>
      <w:lvlText w:val=""/>
      <w:lvlJc w:val="left"/>
      <w:pPr>
        <w:ind w:left="272" w:hanging="360"/>
      </w:pPr>
      <w:rPr>
        <w:rFonts w:ascii="Wingdings" w:hAnsi="Wingdings" w:hint="default"/>
      </w:rPr>
    </w:lvl>
    <w:lvl w:ilvl="3" w:tplc="04090001" w:tentative="1">
      <w:start w:val="1"/>
      <w:numFmt w:val="bullet"/>
      <w:lvlText w:val=""/>
      <w:lvlJc w:val="left"/>
      <w:pPr>
        <w:ind w:left="992" w:hanging="360"/>
      </w:pPr>
      <w:rPr>
        <w:rFonts w:ascii="Symbol" w:hAnsi="Symbol" w:hint="default"/>
      </w:rPr>
    </w:lvl>
    <w:lvl w:ilvl="4" w:tplc="04090003" w:tentative="1">
      <w:start w:val="1"/>
      <w:numFmt w:val="bullet"/>
      <w:lvlText w:val="o"/>
      <w:lvlJc w:val="left"/>
      <w:pPr>
        <w:ind w:left="1712" w:hanging="360"/>
      </w:pPr>
      <w:rPr>
        <w:rFonts w:ascii="Courier New" w:hAnsi="Courier New" w:cs="Courier New" w:hint="default"/>
      </w:rPr>
    </w:lvl>
    <w:lvl w:ilvl="5" w:tplc="04090005" w:tentative="1">
      <w:start w:val="1"/>
      <w:numFmt w:val="bullet"/>
      <w:lvlText w:val=""/>
      <w:lvlJc w:val="left"/>
      <w:pPr>
        <w:ind w:left="2432" w:hanging="360"/>
      </w:pPr>
      <w:rPr>
        <w:rFonts w:ascii="Wingdings" w:hAnsi="Wingdings" w:hint="default"/>
      </w:rPr>
    </w:lvl>
    <w:lvl w:ilvl="6" w:tplc="04090001" w:tentative="1">
      <w:start w:val="1"/>
      <w:numFmt w:val="bullet"/>
      <w:lvlText w:val=""/>
      <w:lvlJc w:val="left"/>
      <w:pPr>
        <w:ind w:left="3152" w:hanging="360"/>
      </w:pPr>
      <w:rPr>
        <w:rFonts w:ascii="Symbol" w:hAnsi="Symbol" w:hint="default"/>
      </w:rPr>
    </w:lvl>
    <w:lvl w:ilvl="7" w:tplc="04090003" w:tentative="1">
      <w:start w:val="1"/>
      <w:numFmt w:val="bullet"/>
      <w:lvlText w:val="o"/>
      <w:lvlJc w:val="left"/>
      <w:pPr>
        <w:ind w:left="3872" w:hanging="360"/>
      </w:pPr>
      <w:rPr>
        <w:rFonts w:ascii="Courier New" w:hAnsi="Courier New" w:cs="Courier New" w:hint="default"/>
      </w:rPr>
    </w:lvl>
    <w:lvl w:ilvl="8" w:tplc="04090005" w:tentative="1">
      <w:start w:val="1"/>
      <w:numFmt w:val="bullet"/>
      <w:lvlText w:val=""/>
      <w:lvlJc w:val="left"/>
      <w:pPr>
        <w:ind w:left="4592"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E1C0E"/>
    <w:multiLevelType w:val="hybridMultilevel"/>
    <w:tmpl w:val="E310579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0"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맑은 고딕"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9"/>
  </w:num>
  <w:num w:numId="2">
    <w:abstractNumId w:val="13"/>
  </w:num>
  <w:num w:numId="3">
    <w:abstractNumId w:val="30"/>
  </w:num>
  <w:num w:numId="4">
    <w:abstractNumId w:val="10"/>
  </w:num>
  <w:num w:numId="5">
    <w:abstractNumId w:val="16"/>
  </w:num>
  <w:num w:numId="6">
    <w:abstractNumId w:val="31"/>
  </w:num>
  <w:num w:numId="7">
    <w:abstractNumId w:val="2"/>
  </w:num>
  <w:num w:numId="8">
    <w:abstractNumId w:val="19"/>
  </w:num>
  <w:num w:numId="9">
    <w:abstractNumId w:val="24"/>
  </w:num>
  <w:num w:numId="10">
    <w:abstractNumId w:val="8"/>
  </w:num>
  <w:num w:numId="11">
    <w:abstractNumId w:val="6"/>
  </w:num>
  <w:num w:numId="12">
    <w:abstractNumId w:val="7"/>
  </w:num>
  <w:num w:numId="13">
    <w:abstractNumId w:val="15"/>
  </w:num>
  <w:num w:numId="14">
    <w:abstractNumId w:val="12"/>
  </w:num>
  <w:num w:numId="15">
    <w:abstractNumId w:val="0"/>
  </w:num>
  <w:num w:numId="16">
    <w:abstractNumId w:val="5"/>
  </w:num>
  <w:num w:numId="17">
    <w:abstractNumId w:val="28"/>
  </w:num>
  <w:num w:numId="18">
    <w:abstractNumId w:val="1"/>
  </w:num>
  <w:num w:numId="19">
    <w:abstractNumId w:val="17"/>
  </w:num>
  <w:num w:numId="20">
    <w:abstractNumId w:val="11"/>
  </w:num>
  <w:num w:numId="21">
    <w:abstractNumId w:val="26"/>
  </w:num>
  <w:num w:numId="22">
    <w:abstractNumId w:val="29"/>
  </w:num>
  <w:num w:numId="23">
    <w:abstractNumId w:val="22"/>
  </w:num>
  <w:num w:numId="24">
    <w:abstractNumId w:val="21"/>
  </w:num>
  <w:num w:numId="25">
    <w:abstractNumId w:val="23"/>
  </w:num>
  <w:num w:numId="26">
    <w:abstractNumId w:val="25"/>
  </w:num>
  <w:num w:numId="27">
    <w:abstractNumId w:val="20"/>
  </w:num>
  <w:num w:numId="28">
    <w:abstractNumId w:val="9"/>
  </w:num>
  <w:num w:numId="29">
    <w:abstractNumId w:val="9"/>
  </w:num>
  <w:num w:numId="30">
    <w:abstractNumId w:val="14"/>
  </w:num>
  <w:num w:numId="31">
    <w:abstractNumId w:val="9"/>
  </w:num>
  <w:num w:numId="32">
    <w:abstractNumId w:val="18"/>
  </w:num>
  <w:num w:numId="33">
    <w:abstractNumId w:val="3"/>
  </w:num>
  <w:num w:numId="34">
    <w:abstractNumId w:val="27"/>
  </w:num>
  <w:num w:numId="35">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2C50"/>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239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169"/>
    <w:rsid w:val="000417AC"/>
    <w:rsid w:val="000425A7"/>
    <w:rsid w:val="00042CB1"/>
    <w:rsid w:val="0004373D"/>
    <w:rsid w:val="000444ED"/>
    <w:rsid w:val="00044D9B"/>
    <w:rsid w:val="00045717"/>
    <w:rsid w:val="0004670A"/>
    <w:rsid w:val="00046CA0"/>
    <w:rsid w:val="000470AB"/>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29CD"/>
    <w:rsid w:val="00073168"/>
    <w:rsid w:val="00074EAF"/>
    <w:rsid w:val="00076803"/>
    <w:rsid w:val="000769B6"/>
    <w:rsid w:val="00076B3D"/>
    <w:rsid w:val="000805B6"/>
    <w:rsid w:val="00080B30"/>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4ED"/>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0F8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2255"/>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1C0"/>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753"/>
    <w:rsid w:val="00335C84"/>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172"/>
    <w:rsid w:val="003D1C0E"/>
    <w:rsid w:val="003D1E5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D"/>
    <w:rsid w:val="00407419"/>
    <w:rsid w:val="00407EC8"/>
    <w:rsid w:val="004112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2C"/>
    <w:rsid w:val="004C03C5"/>
    <w:rsid w:val="004C0F81"/>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09E5"/>
    <w:rsid w:val="004D2914"/>
    <w:rsid w:val="004D35CE"/>
    <w:rsid w:val="004D3ADB"/>
    <w:rsid w:val="004D3CDC"/>
    <w:rsid w:val="004D4EE7"/>
    <w:rsid w:val="004D62D3"/>
    <w:rsid w:val="004D6B9F"/>
    <w:rsid w:val="004E09E5"/>
    <w:rsid w:val="004E0CCA"/>
    <w:rsid w:val="004E177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2F3F"/>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1BAE"/>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6E8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844"/>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2C8"/>
    <w:rsid w:val="00674585"/>
    <w:rsid w:val="00674F79"/>
    <w:rsid w:val="00675109"/>
    <w:rsid w:val="0067533B"/>
    <w:rsid w:val="00675CC9"/>
    <w:rsid w:val="00676798"/>
    <w:rsid w:val="00676D32"/>
    <w:rsid w:val="00676DCE"/>
    <w:rsid w:val="00676FB7"/>
    <w:rsid w:val="00677639"/>
    <w:rsid w:val="006776FE"/>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577"/>
    <w:rsid w:val="00711E95"/>
    <w:rsid w:val="007121D5"/>
    <w:rsid w:val="0071336B"/>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4C73"/>
    <w:rsid w:val="00805088"/>
    <w:rsid w:val="00805217"/>
    <w:rsid w:val="008053D0"/>
    <w:rsid w:val="00805F88"/>
    <w:rsid w:val="00806B01"/>
    <w:rsid w:val="00806CB0"/>
    <w:rsid w:val="0080705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59C"/>
    <w:rsid w:val="0082665E"/>
    <w:rsid w:val="00827AC4"/>
    <w:rsid w:val="008309CC"/>
    <w:rsid w:val="00830DD2"/>
    <w:rsid w:val="00831ABB"/>
    <w:rsid w:val="008334CD"/>
    <w:rsid w:val="00833972"/>
    <w:rsid w:val="00836A46"/>
    <w:rsid w:val="00836B80"/>
    <w:rsid w:val="00836C79"/>
    <w:rsid w:val="008371AA"/>
    <w:rsid w:val="00840E03"/>
    <w:rsid w:val="00841A7D"/>
    <w:rsid w:val="00842B5D"/>
    <w:rsid w:val="00843387"/>
    <w:rsid w:val="0084351A"/>
    <w:rsid w:val="008445BE"/>
    <w:rsid w:val="00844B4C"/>
    <w:rsid w:val="0084684F"/>
    <w:rsid w:val="00846B6C"/>
    <w:rsid w:val="00847756"/>
    <w:rsid w:val="00847955"/>
    <w:rsid w:val="008501BD"/>
    <w:rsid w:val="008502EC"/>
    <w:rsid w:val="00851CA4"/>
    <w:rsid w:val="00852478"/>
    <w:rsid w:val="00852526"/>
    <w:rsid w:val="008531AA"/>
    <w:rsid w:val="0085359B"/>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0FE5"/>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5469"/>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3C1"/>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444"/>
    <w:rsid w:val="00A60CBE"/>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05D"/>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481"/>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378E"/>
    <w:rsid w:val="00B8460A"/>
    <w:rsid w:val="00B84D9A"/>
    <w:rsid w:val="00B8694D"/>
    <w:rsid w:val="00B86D05"/>
    <w:rsid w:val="00B8797C"/>
    <w:rsid w:val="00B87E55"/>
    <w:rsid w:val="00B9151F"/>
    <w:rsid w:val="00B91B9B"/>
    <w:rsid w:val="00B91BB2"/>
    <w:rsid w:val="00B9221B"/>
    <w:rsid w:val="00B92831"/>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59B"/>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3363"/>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37"/>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1C8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66F36"/>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49B"/>
    <w:rsid w:val="00E94B76"/>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27C"/>
    <w:rsid w:val="00F07AD6"/>
    <w:rsid w:val="00F07D4C"/>
    <w:rsid w:val="00F101BB"/>
    <w:rsid w:val="00F10B2B"/>
    <w:rsid w:val="00F114ED"/>
    <w:rsid w:val="00F11554"/>
    <w:rsid w:val="00F116B5"/>
    <w:rsid w:val="00F118FE"/>
    <w:rsid w:val="00F11F98"/>
    <w:rsid w:val="00F120DA"/>
    <w:rsid w:val="00F123E2"/>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qFormat/>
    <w:rsid w:val="00E94B76"/>
    <w:pPr>
      <w:keepNext/>
      <w:keepLines/>
      <w:spacing w:before="120" w:after="180"/>
      <w:ind w:left="1134" w:hanging="1134"/>
      <w:jc w:val="both"/>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7"/>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qFormat/>
    <w:rsid w:val="00E94B76"/>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8"/>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9"/>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9"/>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9"/>
      </w:numPr>
      <w:wordWrap w:val="0"/>
      <w:autoSpaceDE w:val="0"/>
      <w:autoSpaceDN w:val="0"/>
      <w:spacing w:before="0" w:after="200" w:line="276" w:lineRule="auto"/>
      <w:ind w:leftChars="300" w:left="2221" w:hangingChars="200" w:hanging="400"/>
    </w:pPr>
    <w:rPr>
      <w:rFonts w:eastAsia="바탕"/>
      <w:color w:val="3333FF"/>
      <w:kern w:val="2"/>
      <w:sz w:val="24"/>
      <w:u w:val="none"/>
    </w:rPr>
  </w:style>
  <w:style w:type="numbering" w:customStyle="1" w:styleId="1patent">
    <w:name w:val="스타일1 (patent)"/>
    <w:uiPriority w:val="99"/>
    <w:rsid w:val="006415C2"/>
    <w:pPr>
      <w:numPr>
        <w:numId w:val="10"/>
      </w:numPr>
    </w:pPr>
  </w:style>
  <w:style w:type="paragraph" w:customStyle="1" w:styleId="references">
    <w:name w:val="references"/>
    <w:basedOn w:val="a"/>
    <w:rsid w:val="006415C2"/>
    <w:pPr>
      <w:numPr>
        <w:numId w:val="11"/>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3"/>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2"/>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4"/>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5"/>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6"/>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17"/>
      </w:numPr>
      <w:tabs>
        <w:tab w:val="clear" w:pos="1191"/>
        <w:tab w:val="num" w:pos="737"/>
      </w:tabs>
      <w:ind w:left="760" w:hanging="360"/>
    </w:pPr>
    <w:rPr>
      <w:lang w:eastAsia="en-US"/>
    </w:rPr>
  </w:style>
  <w:style w:type="paragraph" w:customStyle="1" w:styleId="B3">
    <w:name w:val="B3+"/>
    <w:basedOn w:val="B30"/>
    <w:rsid w:val="006415C2"/>
    <w:pPr>
      <w:numPr>
        <w:numId w:val="18"/>
      </w:numPr>
      <w:tabs>
        <w:tab w:val="clear" w:pos="1644"/>
        <w:tab w:val="num" w:pos="720"/>
        <w:tab w:val="left" w:pos="1134"/>
      </w:tabs>
      <w:ind w:left="720" w:hanging="720"/>
    </w:pPr>
    <w:rPr>
      <w:lang w:eastAsia="en-US"/>
    </w:rPr>
  </w:style>
  <w:style w:type="paragraph" w:customStyle="1" w:styleId="BL">
    <w:name w:val="BL"/>
    <w:basedOn w:val="a"/>
    <w:rsid w:val="006415C2"/>
    <w:pPr>
      <w:numPr>
        <w:numId w:val="19"/>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0"/>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1"/>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2"/>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 w:type="table" w:customStyle="1" w:styleId="TableGrid10">
    <w:name w:val="TableGrid1"/>
    <w:basedOn w:val="a2"/>
    <w:next w:val="a9"/>
    <w:uiPriority w:val="39"/>
    <w:qFormat/>
    <w:rsid w:val="00B8378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2"/>
    <w:next w:val="a9"/>
    <w:uiPriority w:val="39"/>
    <w:qFormat/>
    <w:rsid w:val="0080705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11EE8-4816-4ADA-A46B-688D3229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1284</Words>
  <Characters>7320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10</cp:revision>
  <cp:lastPrinted>2013-04-01T03:20:00Z</cp:lastPrinted>
  <dcterms:created xsi:type="dcterms:W3CDTF">2024-08-07T01:36:00Z</dcterms:created>
  <dcterms:modified xsi:type="dcterms:W3CDTF">2024-08-09T07:36:00Z</dcterms:modified>
</cp:coreProperties>
</file>